
<file path=[Content_Types].xml><?xml version="1.0" encoding="utf-8"?>
<Types xmlns="http://schemas.openxmlformats.org/package/2006/content-types">
  <Default Extension="xlsx" ContentType="application/vnd.openxmlformats-officedocument.spreadsheetml.shee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word/charts/chart3.xml" ContentType="application/vnd.openxmlformats-officedocument.drawingml.chart+xml"/>
  <Override PartName="/word/charts/chart30.xml" ContentType="application/vnd.openxmlformats-officedocument.drawingml.chart+xml"/>
  <Override PartName="/word/charts/chart31.xml" ContentType="application/vnd.openxmlformats-officedocument.drawingml.chart+xml"/>
  <Override PartName="/word/charts/chart32.xml" ContentType="application/vnd.openxmlformats-officedocument.drawingml.chart+xml"/>
  <Override PartName="/word/charts/chart33.xml" ContentType="application/vnd.openxmlformats-officedocument.drawingml.chart+xml"/>
  <Override PartName="/word/charts/chart34.xml" ContentType="application/vnd.openxmlformats-officedocument.drawingml.chart+xml"/>
  <Override PartName="/word/charts/chart35.xml" ContentType="application/vnd.openxmlformats-officedocument.drawingml.chart+xml"/>
  <Override PartName="/word/charts/chart36.xml" ContentType="application/vnd.openxmlformats-officedocument.drawingml.chart+xml"/>
  <Override PartName="/word/charts/chart37.xml" ContentType="application/vnd.openxmlformats-officedocument.drawingml.chart+xml"/>
  <Override PartName="/word/charts/chart38.xml" ContentType="application/vnd.openxmlformats-officedocument.drawingml.chart+xml"/>
  <Override PartName="/word/charts/chart39.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Lines="113" w:afterLines="113" w:line="113" w:lineRule="auto"/>
        <w:jc w:val="left"/>
      </w:pPr>
      <w:bookmarkStart w:id="83" w:name="_GoBack"/>
      <w:bookmarkEnd w:id="83"/>
    </w:p>
    <w:p>
      <w:pPr>
        <w:jc w:val="center"/>
      </w:pPr>
      <w:r>
        <w:rPr>
          <w:rFonts w:hint="eastAsia" w:ascii="黑体" w:eastAsia="黑体"/>
          <w:b w:val="0"/>
          <w:color w:val="000000"/>
          <w:sz w:val="96"/>
          <w:szCs w:val="96"/>
          <w:shd w:val="clear" w:color="auto" w:fill="FFFFFF"/>
        </w:rPr>
        <w:t>空压站上部计算书</w:t>
      </w:r>
    </w:p>
    <w:p>
      <w:pPr>
        <w:jc w:val="center"/>
      </w:pPr>
    </w:p>
    <w:tbl>
      <w:tblPr>
        <w:tblStyle w:val="42"/>
        <w:tblW w:w="7257" w:type="dxa"/>
        <w:jc w:val="center"/>
        <w:tblLayout w:type="autofit"/>
        <w:tblCellMar>
          <w:top w:w="0" w:type="dxa"/>
          <w:left w:w="108" w:type="dxa"/>
          <w:bottom w:w="0" w:type="dxa"/>
          <w:right w:w="108" w:type="dxa"/>
        </w:tblCellMar>
      </w:tblPr>
      <w:tblGrid>
        <w:gridCol w:w="3628"/>
        <w:gridCol w:w="3629"/>
      </w:tblGrid>
      <w:tr>
        <w:trPr>
          <w:tblHeader/>
          <w:jc w:val="center"/>
        </w:trPr>
        <w:tc>
          <w:tcPr>
            <w:tcW w:w="3628" w:type="dxa"/>
            <w:shd w:val="clear" w:color="auto" w:fill="FFFFFF"/>
          </w:tcPr>
          <w:p>
            <w:pPr>
              <w:jc w:val="left"/>
            </w:pPr>
            <w:r>
              <w:rPr>
                <w:rFonts w:hint="eastAsia" w:ascii="宋体" w:eastAsia="宋体"/>
                <w:b w:val="0"/>
                <w:color w:val="000000"/>
                <w:sz w:val="28"/>
                <w:szCs w:val="28"/>
                <w:shd w:val="clear" w:color="auto" w:fill="FFFFFF"/>
              </w:rPr>
              <w:t>项目编号: No.1</w:t>
            </w:r>
          </w:p>
        </w:tc>
        <w:tc>
          <w:tcPr>
            <w:tcW w:w="3628" w:type="dxa"/>
            <w:shd w:val="clear" w:color="auto" w:fill="FFFFFF"/>
          </w:tcPr>
          <w:p>
            <w:pPr>
              <w:jc w:val="left"/>
            </w:pPr>
            <w:r>
              <w:rPr>
                <w:rFonts w:hint="eastAsia" w:ascii="宋体" w:eastAsia="宋体"/>
                <w:b w:val="0"/>
                <w:color w:val="000000"/>
                <w:sz w:val="28"/>
                <w:szCs w:val="28"/>
                <w:shd w:val="clear" w:color="auto" w:fill="FFFFFF"/>
              </w:rPr>
              <w:t>项目名称: XXX项目</w:t>
            </w:r>
          </w:p>
        </w:tc>
      </w:tr>
      <w:tr>
        <w:tblPrEx>
          <w:tblCellMar>
            <w:top w:w="0" w:type="dxa"/>
            <w:left w:w="108" w:type="dxa"/>
            <w:bottom w:w="0" w:type="dxa"/>
            <w:right w:w="108" w:type="dxa"/>
          </w:tblCellMar>
        </w:tblPrEx>
        <w:trPr>
          <w:jc w:val="center"/>
        </w:trPr>
        <w:tc>
          <w:tcPr>
            <w:tcW w:w="3628" w:type="dxa"/>
            <w:shd w:val="clear" w:color="auto" w:fill="FFFFFF"/>
          </w:tcPr>
          <w:p>
            <w:pPr>
              <w:jc w:val="left"/>
            </w:pPr>
            <w:r>
              <w:rPr>
                <w:rFonts w:hint="eastAsia" w:ascii="宋体" w:eastAsia="宋体"/>
                <w:b w:val="0"/>
                <w:color w:val="000000"/>
                <w:sz w:val="28"/>
                <w:szCs w:val="28"/>
                <w:shd w:val="clear" w:color="auto" w:fill="FFFFFF"/>
              </w:rPr>
              <w:t>计算人: XXX设计师</w:t>
            </w:r>
          </w:p>
        </w:tc>
        <w:tc>
          <w:tcPr>
            <w:tcW w:w="3628" w:type="dxa"/>
            <w:shd w:val="clear" w:color="auto" w:fill="FFFFFF"/>
          </w:tcPr>
          <w:p>
            <w:pPr>
              <w:jc w:val="left"/>
            </w:pPr>
            <w:r>
              <w:rPr>
                <w:rFonts w:hint="eastAsia" w:ascii="宋体" w:eastAsia="宋体"/>
                <w:b w:val="0"/>
                <w:color w:val="000000"/>
                <w:sz w:val="28"/>
                <w:szCs w:val="28"/>
                <w:shd w:val="clear" w:color="auto" w:fill="FFFFFF"/>
              </w:rPr>
              <w:t>专业负责人: XXX总工</w:t>
            </w:r>
          </w:p>
        </w:tc>
      </w:tr>
      <w:tr>
        <w:tblPrEx>
          <w:tblCellMar>
            <w:top w:w="0" w:type="dxa"/>
            <w:left w:w="108" w:type="dxa"/>
            <w:bottom w:w="0" w:type="dxa"/>
            <w:right w:w="108" w:type="dxa"/>
          </w:tblCellMar>
        </w:tblPrEx>
        <w:trPr>
          <w:jc w:val="center"/>
        </w:trPr>
        <w:tc>
          <w:tcPr>
            <w:tcW w:w="3628" w:type="dxa"/>
            <w:shd w:val="clear" w:color="auto" w:fill="FFFFFF"/>
          </w:tcPr>
          <w:p>
            <w:pPr>
              <w:jc w:val="left"/>
            </w:pPr>
            <w:r>
              <w:rPr>
                <w:rFonts w:hint="eastAsia" w:ascii="宋体" w:eastAsia="宋体"/>
                <w:b w:val="0"/>
                <w:color w:val="000000"/>
                <w:sz w:val="28"/>
                <w:szCs w:val="28"/>
                <w:shd w:val="clear" w:color="auto" w:fill="FFFFFF"/>
              </w:rPr>
              <w:t>校核人: XXX设计师</w:t>
            </w:r>
          </w:p>
        </w:tc>
        <w:tc>
          <w:tcPr>
            <w:tcW w:w="3628" w:type="dxa"/>
            <w:shd w:val="clear" w:color="auto" w:fill="FFFFFF"/>
          </w:tcPr>
          <w:p>
            <w:pPr>
              <w:jc w:val="left"/>
            </w:pPr>
            <w:r>
              <w:rPr>
                <w:rFonts w:hint="eastAsia" w:ascii="宋体" w:eastAsia="宋体"/>
                <w:b w:val="0"/>
                <w:color w:val="000000"/>
                <w:sz w:val="28"/>
                <w:szCs w:val="28"/>
                <w:shd w:val="clear" w:color="auto" w:fill="FFFFFF"/>
              </w:rPr>
              <w:t>日期: 2015-XX-XX</w:t>
            </w:r>
          </w:p>
        </w:tc>
      </w:tr>
    </w:tbl>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r>
        <w:rPr>
          <w:rFonts w:hint="eastAsia" w:ascii="黑体" w:eastAsia="黑体"/>
          <w:b w:val="0"/>
          <w:color w:val="000000"/>
          <w:sz w:val="44"/>
          <w:szCs w:val="44"/>
          <w:shd w:val="clear" w:color="auto" w:fill="FFFFFF"/>
        </w:rPr>
        <w:t>中国建筑科学研究院</w:t>
      </w:r>
    </w:p>
    <w:p>
      <w:r>
        <w:br w:type="page"/>
      </w:r>
    </w:p>
    <w:sdt>
      <w:sdtPr>
        <w:id w:val="1"/>
        <w:docPartObj>
          <w:docPartGallery w:val="Table of Contents"/>
          <w:docPartUnique/>
        </w:docPartObj>
      </w:sdtPr>
      <w:sdtContent>
        <w:p>
          <w:pPr>
            <w:pStyle w:val="53"/>
            <w:jc w:val="center"/>
          </w:pPr>
          <w:r>
            <w:rPr>
              <w:color w:val="000000"/>
              <w:lang w:val="zh-CN"/>
            </w:rPr>
            <w:t>目  录</w:t>
          </w:r>
        </w:p>
        <w:p>
          <w:pPr>
            <w:pStyle w:val="12"/>
            <w:tabs>
              <w:tab w:val="right" w:leader="dot" w:pos="9072"/>
            </w:tabs>
          </w:pPr>
          <w:r>
            <w:fldChar w:fldCharType="begin"/>
          </w:r>
          <w:r>
            <w:instrText xml:space="preserve"> TOC \o "1-4" \h \z \u </w:instrText>
          </w:r>
          <w:r>
            <w:fldChar w:fldCharType="separate"/>
          </w:r>
          <w:r>
            <w:fldChar w:fldCharType="begin"/>
          </w:r>
          <w:r>
            <w:instrText xml:space="preserve"> HYPERLINK \l _Toc17619 </w:instrText>
          </w:r>
          <w:r>
            <w:fldChar w:fldCharType="separate"/>
          </w:r>
          <w:r>
            <w:rPr>
              <w:rFonts w:hint="eastAsia" w:ascii="宋体" w:eastAsia="宋体"/>
              <w:szCs w:val="32"/>
              <w:shd w:val="clear" w:color="auto" w:fill="FFFFFF"/>
            </w:rPr>
            <w:t>一. 设计依据信息</w:t>
          </w:r>
          <w:r>
            <w:tab/>
          </w:r>
          <w:r>
            <w:fldChar w:fldCharType="begin"/>
          </w:r>
          <w:r>
            <w:instrText xml:space="preserve"> PAGEREF _Toc17619 \h </w:instrText>
          </w:r>
          <w:r>
            <w:fldChar w:fldCharType="separate"/>
          </w:r>
          <w:r>
            <w:t>4</w:t>
          </w:r>
          <w:r>
            <w:fldChar w:fldCharType="end"/>
          </w:r>
          <w:r>
            <w:fldChar w:fldCharType="end"/>
          </w:r>
        </w:p>
        <w:p>
          <w:pPr>
            <w:pStyle w:val="12"/>
            <w:tabs>
              <w:tab w:val="right" w:leader="dot" w:pos="9072"/>
            </w:tabs>
          </w:pPr>
          <w:r>
            <w:fldChar w:fldCharType="begin"/>
          </w:r>
          <w:r>
            <w:instrText xml:space="preserve"> HYPERLINK \l _Toc4525 </w:instrText>
          </w:r>
          <w:r>
            <w:fldChar w:fldCharType="separate"/>
          </w:r>
          <w:r>
            <w:rPr>
              <w:rFonts w:hint="eastAsia" w:ascii="宋体" w:eastAsia="宋体"/>
              <w:szCs w:val="32"/>
              <w:shd w:val="clear" w:color="auto" w:fill="FFFFFF"/>
            </w:rPr>
            <w:t>二. 计算软件信息</w:t>
          </w:r>
          <w:r>
            <w:tab/>
          </w:r>
          <w:r>
            <w:fldChar w:fldCharType="begin"/>
          </w:r>
          <w:r>
            <w:instrText xml:space="preserve"> PAGEREF _Toc4525 \h </w:instrText>
          </w:r>
          <w:r>
            <w:fldChar w:fldCharType="separate"/>
          </w:r>
          <w:r>
            <w:t>4</w:t>
          </w:r>
          <w:r>
            <w:fldChar w:fldCharType="end"/>
          </w:r>
          <w:r>
            <w:fldChar w:fldCharType="end"/>
          </w:r>
        </w:p>
        <w:p>
          <w:pPr>
            <w:pStyle w:val="12"/>
            <w:tabs>
              <w:tab w:val="right" w:leader="dot" w:pos="9072"/>
            </w:tabs>
          </w:pPr>
          <w:r>
            <w:fldChar w:fldCharType="begin"/>
          </w:r>
          <w:r>
            <w:instrText xml:space="preserve"> HYPERLINK \l _Toc24208 </w:instrText>
          </w:r>
          <w:r>
            <w:fldChar w:fldCharType="separate"/>
          </w:r>
          <w:r>
            <w:rPr>
              <w:rFonts w:hint="eastAsia" w:ascii="宋体" w:eastAsia="宋体"/>
              <w:szCs w:val="32"/>
              <w:shd w:val="clear" w:color="auto" w:fill="FFFFFF"/>
            </w:rPr>
            <w:t>三. 项目基本信息</w:t>
          </w:r>
          <w:r>
            <w:tab/>
          </w:r>
          <w:r>
            <w:fldChar w:fldCharType="begin"/>
          </w:r>
          <w:r>
            <w:instrText xml:space="preserve"> PAGEREF _Toc24208 \h </w:instrText>
          </w:r>
          <w:r>
            <w:fldChar w:fldCharType="separate"/>
          </w:r>
          <w:r>
            <w:t>4</w:t>
          </w:r>
          <w:r>
            <w:fldChar w:fldCharType="end"/>
          </w:r>
          <w:r>
            <w:fldChar w:fldCharType="end"/>
          </w:r>
        </w:p>
        <w:p>
          <w:pPr>
            <w:pStyle w:val="12"/>
            <w:tabs>
              <w:tab w:val="right" w:leader="dot" w:pos="9072"/>
            </w:tabs>
          </w:pPr>
          <w:r>
            <w:fldChar w:fldCharType="begin"/>
          </w:r>
          <w:r>
            <w:instrText xml:space="preserve"> HYPERLINK \l _Toc29639 </w:instrText>
          </w:r>
          <w:r>
            <w:fldChar w:fldCharType="separate"/>
          </w:r>
          <w:r>
            <w:rPr>
              <w:rFonts w:hint="eastAsia" w:ascii="宋体" w:eastAsia="宋体"/>
              <w:szCs w:val="32"/>
              <w:shd w:val="clear" w:color="auto" w:fill="FFFFFF"/>
            </w:rPr>
            <w:t>四. 指标汇总信息</w:t>
          </w:r>
          <w:r>
            <w:tab/>
          </w:r>
          <w:r>
            <w:fldChar w:fldCharType="begin"/>
          </w:r>
          <w:r>
            <w:instrText xml:space="preserve"> PAGEREF _Toc29639 \h </w:instrText>
          </w:r>
          <w:r>
            <w:fldChar w:fldCharType="separate"/>
          </w:r>
          <w:r>
            <w:t>5</w:t>
          </w:r>
          <w:r>
            <w:fldChar w:fldCharType="end"/>
          </w:r>
          <w:r>
            <w:fldChar w:fldCharType="end"/>
          </w:r>
        </w:p>
        <w:p>
          <w:pPr>
            <w:pStyle w:val="12"/>
            <w:tabs>
              <w:tab w:val="right" w:leader="dot" w:pos="9072"/>
            </w:tabs>
          </w:pPr>
          <w:r>
            <w:fldChar w:fldCharType="begin"/>
          </w:r>
          <w:r>
            <w:instrText xml:space="preserve"> HYPERLINK \l _Toc15854 </w:instrText>
          </w:r>
          <w:r>
            <w:fldChar w:fldCharType="separate"/>
          </w:r>
          <w:r>
            <w:rPr>
              <w:rFonts w:hint="eastAsia" w:ascii="宋体" w:eastAsia="宋体"/>
              <w:szCs w:val="32"/>
              <w:shd w:val="clear" w:color="auto" w:fill="FFFFFF"/>
            </w:rPr>
            <w:t>五. 超筋超限信息汇总</w:t>
          </w:r>
          <w:r>
            <w:tab/>
          </w:r>
          <w:r>
            <w:fldChar w:fldCharType="begin"/>
          </w:r>
          <w:r>
            <w:instrText xml:space="preserve"> PAGEREF _Toc15854 \h </w:instrText>
          </w:r>
          <w:r>
            <w:fldChar w:fldCharType="separate"/>
          </w:r>
          <w:r>
            <w:t>6</w:t>
          </w:r>
          <w:r>
            <w:fldChar w:fldCharType="end"/>
          </w:r>
          <w:r>
            <w:fldChar w:fldCharType="end"/>
          </w:r>
        </w:p>
        <w:p>
          <w:pPr>
            <w:pStyle w:val="12"/>
            <w:tabs>
              <w:tab w:val="right" w:leader="dot" w:pos="9072"/>
            </w:tabs>
          </w:pPr>
          <w:r>
            <w:fldChar w:fldCharType="begin"/>
          </w:r>
          <w:r>
            <w:instrText xml:space="preserve"> HYPERLINK \l _Toc2496 </w:instrText>
          </w:r>
          <w:r>
            <w:fldChar w:fldCharType="separate"/>
          </w:r>
          <w:r>
            <w:rPr>
              <w:rFonts w:hint="eastAsia" w:ascii="宋体" w:eastAsia="宋体"/>
              <w:szCs w:val="32"/>
              <w:shd w:val="clear" w:color="auto" w:fill="FFFFFF"/>
            </w:rPr>
            <w:t>六. 结构模型概况</w:t>
          </w:r>
          <w:r>
            <w:tab/>
          </w:r>
          <w:r>
            <w:fldChar w:fldCharType="begin"/>
          </w:r>
          <w:r>
            <w:instrText xml:space="preserve"> PAGEREF _Toc2496 \h </w:instrText>
          </w:r>
          <w:r>
            <w:fldChar w:fldCharType="separate"/>
          </w:r>
          <w:r>
            <w:t>6</w:t>
          </w:r>
          <w:r>
            <w:fldChar w:fldCharType="end"/>
          </w:r>
          <w:r>
            <w:fldChar w:fldCharType="end"/>
          </w:r>
        </w:p>
        <w:p>
          <w:pPr>
            <w:pStyle w:val="15"/>
            <w:tabs>
              <w:tab w:val="right" w:leader="dot" w:pos="9072"/>
            </w:tabs>
          </w:pPr>
          <w:r>
            <w:fldChar w:fldCharType="begin"/>
          </w:r>
          <w:r>
            <w:instrText xml:space="preserve"> HYPERLINK \l _Toc4201 </w:instrText>
          </w:r>
          <w:r>
            <w:fldChar w:fldCharType="separate"/>
          </w:r>
          <w:r>
            <w:rPr>
              <w:rFonts w:hint="eastAsia" w:ascii="宋体" w:eastAsia="宋体"/>
              <w:szCs w:val="28"/>
              <w:shd w:val="clear" w:color="auto" w:fill="FFFFFF"/>
            </w:rPr>
            <w:t>1. 系统总信息</w:t>
          </w:r>
          <w:r>
            <w:tab/>
          </w:r>
          <w:r>
            <w:fldChar w:fldCharType="begin"/>
          </w:r>
          <w:r>
            <w:instrText xml:space="preserve"> PAGEREF _Toc4201 \h </w:instrText>
          </w:r>
          <w:r>
            <w:fldChar w:fldCharType="separate"/>
          </w:r>
          <w:r>
            <w:t>6</w:t>
          </w:r>
          <w:r>
            <w:fldChar w:fldCharType="end"/>
          </w:r>
          <w:r>
            <w:fldChar w:fldCharType="end"/>
          </w:r>
        </w:p>
        <w:p>
          <w:pPr>
            <w:pStyle w:val="15"/>
            <w:tabs>
              <w:tab w:val="right" w:leader="dot" w:pos="9072"/>
            </w:tabs>
          </w:pPr>
          <w:r>
            <w:fldChar w:fldCharType="begin"/>
          </w:r>
          <w:r>
            <w:instrText xml:space="preserve"> HYPERLINK \l _Toc17215 </w:instrText>
          </w:r>
          <w:r>
            <w:fldChar w:fldCharType="separate"/>
          </w:r>
          <w:r>
            <w:rPr>
              <w:rFonts w:hint="eastAsia" w:ascii="宋体" w:eastAsia="宋体"/>
              <w:szCs w:val="28"/>
              <w:shd w:val="clear" w:color="auto" w:fill="FFFFFF"/>
            </w:rPr>
            <w:t>2. 楼层信息</w:t>
          </w:r>
          <w:r>
            <w:tab/>
          </w:r>
          <w:r>
            <w:fldChar w:fldCharType="begin"/>
          </w:r>
          <w:r>
            <w:instrText xml:space="preserve"> PAGEREF _Toc17215 \h </w:instrText>
          </w:r>
          <w:r>
            <w:fldChar w:fldCharType="separate"/>
          </w:r>
          <w:r>
            <w:t>15</w:t>
          </w:r>
          <w:r>
            <w:fldChar w:fldCharType="end"/>
          </w:r>
          <w:r>
            <w:fldChar w:fldCharType="end"/>
          </w:r>
        </w:p>
        <w:p>
          <w:pPr>
            <w:pStyle w:val="15"/>
            <w:tabs>
              <w:tab w:val="right" w:leader="dot" w:pos="9072"/>
            </w:tabs>
          </w:pPr>
          <w:r>
            <w:fldChar w:fldCharType="begin"/>
          </w:r>
          <w:r>
            <w:instrText xml:space="preserve"> HYPERLINK \l _Toc1723 </w:instrText>
          </w:r>
          <w:r>
            <w:fldChar w:fldCharType="separate"/>
          </w:r>
          <w:r>
            <w:rPr>
              <w:rFonts w:hint="eastAsia" w:ascii="宋体" w:eastAsia="宋体"/>
              <w:szCs w:val="28"/>
              <w:shd w:val="clear" w:color="auto" w:fill="FFFFFF"/>
            </w:rPr>
            <w:t>3. 各层等效尺寸</w:t>
          </w:r>
          <w:r>
            <w:tab/>
          </w:r>
          <w:r>
            <w:fldChar w:fldCharType="begin"/>
          </w:r>
          <w:r>
            <w:instrText xml:space="preserve"> PAGEREF _Toc1723 \h </w:instrText>
          </w:r>
          <w:r>
            <w:fldChar w:fldCharType="separate"/>
          </w:r>
          <w:r>
            <w:t>17</w:t>
          </w:r>
          <w:r>
            <w:fldChar w:fldCharType="end"/>
          </w:r>
          <w:r>
            <w:fldChar w:fldCharType="end"/>
          </w:r>
        </w:p>
        <w:p>
          <w:pPr>
            <w:pStyle w:val="15"/>
            <w:tabs>
              <w:tab w:val="right" w:leader="dot" w:pos="9072"/>
            </w:tabs>
          </w:pPr>
          <w:r>
            <w:fldChar w:fldCharType="begin"/>
          </w:r>
          <w:r>
            <w:instrText xml:space="preserve"> HYPERLINK \l _Toc22273 </w:instrText>
          </w:r>
          <w:r>
            <w:fldChar w:fldCharType="separate"/>
          </w:r>
          <w:r>
            <w:rPr>
              <w:rFonts w:hint="eastAsia" w:ascii="宋体" w:eastAsia="宋体"/>
              <w:szCs w:val="28"/>
              <w:shd w:val="clear" w:color="auto" w:fill="FFFFFF"/>
            </w:rPr>
            <w:t>4. 层塔属性</w:t>
          </w:r>
          <w:r>
            <w:tab/>
          </w:r>
          <w:r>
            <w:fldChar w:fldCharType="begin"/>
          </w:r>
          <w:r>
            <w:instrText xml:space="preserve"> PAGEREF _Toc22273 \h </w:instrText>
          </w:r>
          <w:r>
            <w:fldChar w:fldCharType="separate"/>
          </w:r>
          <w:r>
            <w:t>18</w:t>
          </w:r>
          <w:r>
            <w:fldChar w:fldCharType="end"/>
          </w:r>
          <w:r>
            <w:fldChar w:fldCharType="end"/>
          </w:r>
        </w:p>
        <w:p>
          <w:pPr>
            <w:pStyle w:val="12"/>
            <w:tabs>
              <w:tab w:val="right" w:leader="dot" w:pos="9072"/>
            </w:tabs>
          </w:pPr>
          <w:r>
            <w:fldChar w:fldCharType="begin"/>
          </w:r>
          <w:r>
            <w:instrText xml:space="preserve"> HYPERLINK \l _Toc18922 </w:instrText>
          </w:r>
          <w:r>
            <w:fldChar w:fldCharType="separate"/>
          </w:r>
          <w:r>
            <w:rPr>
              <w:rFonts w:hint="eastAsia" w:ascii="宋体" w:eastAsia="宋体"/>
              <w:szCs w:val="32"/>
              <w:shd w:val="clear" w:color="auto" w:fill="FFFFFF"/>
            </w:rPr>
            <w:t>七. 工况和组合</w:t>
          </w:r>
          <w:r>
            <w:tab/>
          </w:r>
          <w:r>
            <w:fldChar w:fldCharType="begin"/>
          </w:r>
          <w:r>
            <w:instrText xml:space="preserve"> PAGEREF _Toc18922 \h </w:instrText>
          </w:r>
          <w:r>
            <w:fldChar w:fldCharType="separate"/>
          </w:r>
          <w:r>
            <w:t>18</w:t>
          </w:r>
          <w:r>
            <w:fldChar w:fldCharType="end"/>
          </w:r>
          <w:r>
            <w:fldChar w:fldCharType="end"/>
          </w:r>
        </w:p>
        <w:p>
          <w:pPr>
            <w:pStyle w:val="15"/>
            <w:tabs>
              <w:tab w:val="right" w:leader="dot" w:pos="9072"/>
            </w:tabs>
          </w:pPr>
          <w:r>
            <w:fldChar w:fldCharType="begin"/>
          </w:r>
          <w:r>
            <w:instrText xml:space="preserve"> HYPERLINK \l _Toc27182 </w:instrText>
          </w:r>
          <w:r>
            <w:fldChar w:fldCharType="separate"/>
          </w:r>
          <w:r>
            <w:rPr>
              <w:rFonts w:hint="eastAsia" w:ascii="宋体" w:eastAsia="宋体"/>
              <w:szCs w:val="28"/>
              <w:shd w:val="clear" w:color="auto" w:fill="FFFFFF"/>
            </w:rPr>
            <w:t>1. 工况设定</w:t>
          </w:r>
          <w:r>
            <w:tab/>
          </w:r>
          <w:r>
            <w:fldChar w:fldCharType="begin"/>
          </w:r>
          <w:r>
            <w:instrText xml:space="preserve"> PAGEREF _Toc27182 \h </w:instrText>
          </w:r>
          <w:r>
            <w:fldChar w:fldCharType="separate"/>
          </w:r>
          <w:r>
            <w:t>18</w:t>
          </w:r>
          <w:r>
            <w:fldChar w:fldCharType="end"/>
          </w:r>
          <w:r>
            <w:fldChar w:fldCharType="end"/>
          </w:r>
        </w:p>
        <w:p>
          <w:pPr>
            <w:pStyle w:val="15"/>
            <w:tabs>
              <w:tab w:val="right" w:leader="dot" w:pos="9072"/>
            </w:tabs>
          </w:pPr>
          <w:r>
            <w:fldChar w:fldCharType="begin"/>
          </w:r>
          <w:r>
            <w:instrText xml:space="preserve"> HYPERLINK \l _Toc29143 </w:instrText>
          </w:r>
          <w:r>
            <w:fldChar w:fldCharType="separate"/>
          </w:r>
          <w:r>
            <w:rPr>
              <w:rFonts w:hint="eastAsia" w:ascii="宋体" w:eastAsia="宋体"/>
              <w:szCs w:val="28"/>
              <w:shd w:val="clear" w:color="auto" w:fill="FFFFFF"/>
            </w:rPr>
            <w:t>2. 工况信息</w:t>
          </w:r>
          <w:r>
            <w:tab/>
          </w:r>
          <w:r>
            <w:fldChar w:fldCharType="begin"/>
          </w:r>
          <w:r>
            <w:instrText xml:space="preserve"> PAGEREF _Toc29143 \h </w:instrText>
          </w:r>
          <w:r>
            <w:fldChar w:fldCharType="separate"/>
          </w:r>
          <w:r>
            <w:t>19</w:t>
          </w:r>
          <w:r>
            <w:fldChar w:fldCharType="end"/>
          </w:r>
          <w:r>
            <w:fldChar w:fldCharType="end"/>
          </w:r>
        </w:p>
        <w:p>
          <w:pPr>
            <w:pStyle w:val="15"/>
            <w:tabs>
              <w:tab w:val="right" w:leader="dot" w:pos="9072"/>
            </w:tabs>
          </w:pPr>
          <w:r>
            <w:fldChar w:fldCharType="begin"/>
          </w:r>
          <w:r>
            <w:instrText xml:space="preserve"> HYPERLINK \l _Toc26413 </w:instrText>
          </w:r>
          <w:r>
            <w:fldChar w:fldCharType="separate"/>
          </w:r>
          <w:r>
            <w:rPr>
              <w:rFonts w:hint="eastAsia" w:ascii="宋体" w:eastAsia="宋体"/>
              <w:szCs w:val="28"/>
              <w:shd w:val="clear" w:color="auto" w:fill="FFFFFF"/>
            </w:rPr>
            <w:t>3. 构件内力基本组合系数</w:t>
          </w:r>
          <w:r>
            <w:tab/>
          </w:r>
          <w:r>
            <w:fldChar w:fldCharType="begin"/>
          </w:r>
          <w:r>
            <w:instrText xml:space="preserve"> PAGEREF _Toc26413 \h </w:instrText>
          </w:r>
          <w:r>
            <w:fldChar w:fldCharType="separate"/>
          </w:r>
          <w:r>
            <w:t>20</w:t>
          </w:r>
          <w:r>
            <w:fldChar w:fldCharType="end"/>
          </w:r>
          <w:r>
            <w:fldChar w:fldCharType="end"/>
          </w:r>
        </w:p>
        <w:p>
          <w:pPr>
            <w:pStyle w:val="12"/>
            <w:tabs>
              <w:tab w:val="right" w:leader="dot" w:pos="9072"/>
            </w:tabs>
          </w:pPr>
          <w:r>
            <w:fldChar w:fldCharType="begin"/>
          </w:r>
          <w:r>
            <w:instrText xml:space="preserve"> HYPERLINK \l _Toc20783 </w:instrText>
          </w:r>
          <w:r>
            <w:fldChar w:fldCharType="separate"/>
          </w:r>
          <w:r>
            <w:rPr>
              <w:rFonts w:hint="eastAsia" w:ascii="宋体" w:eastAsia="宋体"/>
              <w:szCs w:val="32"/>
              <w:shd w:val="clear" w:color="auto" w:fill="FFFFFF"/>
            </w:rPr>
            <w:t>八. 质量信息</w:t>
          </w:r>
          <w:r>
            <w:tab/>
          </w:r>
          <w:r>
            <w:fldChar w:fldCharType="begin"/>
          </w:r>
          <w:r>
            <w:instrText xml:space="preserve"> PAGEREF _Toc20783 \h </w:instrText>
          </w:r>
          <w:r>
            <w:fldChar w:fldCharType="separate"/>
          </w:r>
          <w:r>
            <w:t>21</w:t>
          </w:r>
          <w:r>
            <w:fldChar w:fldCharType="end"/>
          </w:r>
          <w:r>
            <w:fldChar w:fldCharType="end"/>
          </w:r>
        </w:p>
        <w:p>
          <w:pPr>
            <w:pStyle w:val="15"/>
            <w:tabs>
              <w:tab w:val="right" w:leader="dot" w:pos="9072"/>
            </w:tabs>
          </w:pPr>
          <w:r>
            <w:fldChar w:fldCharType="begin"/>
          </w:r>
          <w:r>
            <w:instrText xml:space="preserve"> HYPERLINK \l _Toc10319 </w:instrText>
          </w:r>
          <w:r>
            <w:fldChar w:fldCharType="separate"/>
          </w:r>
          <w:r>
            <w:rPr>
              <w:rFonts w:hint="eastAsia" w:ascii="宋体" w:eastAsia="宋体"/>
              <w:szCs w:val="28"/>
              <w:shd w:val="clear" w:color="auto" w:fill="FFFFFF"/>
            </w:rPr>
            <w:t>1. 结构质量分布</w:t>
          </w:r>
          <w:r>
            <w:tab/>
          </w:r>
          <w:r>
            <w:fldChar w:fldCharType="begin"/>
          </w:r>
          <w:r>
            <w:instrText xml:space="preserve"> PAGEREF _Toc10319 \h </w:instrText>
          </w:r>
          <w:r>
            <w:fldChar w:fldCharType="separate"/>
          </w:r>
          <w:r>
            <w:t>21</w:t>
          </w:r>
          <w:r>
            <w:fldChar w:fldCharType="end"/>
          </w:r>
          <w:r>
            <w:fldChar w:fldCharType="end"/>
          </w:r>
        </w:p>
        <w:p>
          <w:pPr>
            <w:pStyle w:val="15"/>
            <w:tabs>
              <w:tab w:val="right" w:leader="dot" w:pos="9072"/>
            </w:tabs>
          </w:pPr>
          <w:r>
            <w:fldChar w:fldCharType="begin"/>
          </w:r>
          <w:r>
            <w:instrText xml:space="preserve"> HYPERLINK \l _Toc18920 </w:instrText>
          </w:r>
          <w:r>
            <w:fldChar w:fldCharType="separate"/>
          </w:r>
          <w:r>
            <w:rPr>
              <w:rFonts w:hint="eastAsia" w:ascii="宋体" w:eastAsia="宋体"/>
              <w:szCs w:val="28"/>
              <w:shd w:val="clear" w:color="auto" w:fill="FFFFFF"/>
            </w:rPr>
            <w:t>2. 各层刚心、偏心率信息</w:t>
          </w:r>
          <w:r>
            <w:tab/>
          </w:r>
          <w:r>
            <w:fldChar w:fldCharType="begin"/>
          </w:r>
          <w:r>
            <w:instrText xml:space="preserve"> PAGEREF _Toc18920 \h </w:instrText>
          </w:r>
          <w:r>
            <w:fldChar w:fldCharType="separate"/>
          </w:r>
          <w:r>
            <w:t>24</w:t>
          </w:r>
          <w:r>
            <w:fldChar w:fldCharType="end"/>
          </w:r>
          <w:r>
            <w:fldChar w:fldCharType="end"/>
          </w:r>
        </w:p>
        <w:p>
          <w:pPr>
            <w:pStyle w:val="12"/>
            <w:tabs>
              <w:tab w:val="right" w:leader="dot" w:pos="9072"/>
            </w:tabs>
          </w:pPr>
          <w:r>
            <w:fldChar w:fldCharType="begin"/>
          </w:r>
          <w:r>
            <w:instrText xml:space="preserve"> HYPERLINK \l _Toc31963 </w:instrText>
          </w:r>
          <w:r>
            <w:fldChar w:fldCharType="separate"/>
          </w:r>
          <w:r>
            <w:rPr>
              <w:rFonts w:hint="eastAsia" w:ascii="宋体" w:eastAsia="宋体"/>
              <w:szCs w:val="32"/>
              <w:shd w:val="clear" w:color="auto" w:fill="FFFFFF"/>
            </w:rPr>
            <w:t>九. 荷载信息</w:t>
          </w:r>
          <w:r>
            <w:tab/>
          </w:r>
          <w:r>
            <w:fldChar w:fldCharType="begin"/>
          </w:r>
          <w:r>
            <w:instrText xml:space="preserve"> PAGEREF _Toc31963 \h </w:instrText>
          </w:r>
          <w:r>
            <w:fldChar w:fldCharType="separate"/>
          </w:r>
          <w:r>
            <w:t>25</w:t>
          </w:r>
          <w:r>
            <w:fldChar w:fldCharType="end"/>
          </w:r>
          <w:r>
            <w:fldChar w:fldCharType="end"/>
          </w:r>
        </w:p>
        <w:p>
          <w:pPr>
            <w:pStyle w:val="15"/>
            <w:tabs>
              <w:tab w:val="right" w:leader="dot" w:pos="9072"/>
            </w:tabs>
          </w:pPr>
          <w:r>
            <w:fldChar w:fldCharType="begin"/>
          </w:r>
          <w:r>
            <w:instrText xml:space="preserve"> HYPERLINK \l _Toc14010 </w:instrText>
          </w:r>
          <w:r>
            <w:fldChar w:fldCharType="separate"/>
          </w:r>
          <w:r>
            <w:rPr>
              <w:rFonts w:hint="eastAsia" w:ascii="宋体" w:eastAsia="宋体"/>
              <w:szCs w:val="28"/>
              <w:shd w:val="clear" w:color="auto" w:fill="FFFFFF"/>
            </w:rPr>
            <w:t>1. 风荷载信息</w:t>
          </w:r>
          <w:r>
            <w:tab/>
          </w:r>
          <w:r>
            <w:fldChar w:fldCharType="begin"/>
          </w:r>
          <w:r>
            <w:instrText xml:space="preserve"> PAGEREF _Toc14010 \h </w:instrText>
          </w:r>
          <w:r>
            <w:fldChar w:fldCharType="separate"/>
          </w:r>
          <w:r>
            <w:t>25</w:t>
          </w:r>
          <w:r>
            <w:fldChar w:fldCharType="end"/>
          </w:r>
          <w:r>
            <w:fldChar w:fldCharType="end"/>
          </w:r>
        </w:p>
        <w:p>
          <w:pPr>
            <w:pStyle w:val="12"/>
            <w:tabs>
              <w:tab w:val="right" w:leader="dot" w:pos="9072"/>
            </w:tabs>
          </w:pPr>
          <w:r>
            <w:fldChar w:fldCharType="begin"/>
          </w:r>
          <w:r>
            <w:instrText xml:space="preserve"> HYPERLINK \l _Toc810 </w:instrText>
          </w:r>
          <w:r>
            <w:fldChar w:fldCharType="separate"/>
          </w:r>
          <w:r>
            <w:rPr>
              <w:rFonts w:hint="eastAsia" w:ascii="宋体" w:eastAsia="宋体"/>
              <w:szCs w:val="32"/>
              <w:shd w:val="clear" w:color="auto" w:fill="FFFFFF"/>
            </w:rPr>
            <w:t>十. 立面规则性</w:t>
          </w:r>
          <w:r>
            <w:tab/>
          </w:r>
          <w:r>
            <w:fldChar w:fldCharType="begin"/>
          </w:r>
          <w:r>
            <w:instrText xml:space="preserve"> PAGEREF _Toc810 \h </w:instrText>
          </w:r>
          <w:r>
            <w:fldChar w:fldCharType="separate"/>
          </w:r>
          <w:r>
            <w:t>27</w:t>
          </w:r>
          <w:r>
            <w:fldChar w:fldCharType="end"/>
          </w:r>
          <w:r>
            <w:fldChar w:fldCharType="end"/>
          </w:r>
        </w:p>
        <w:p>
          <w:pPr>
            <w:pStyle w:val="15"/>
            <w:tabs>
              <w:tab w:val="right" w:leader="dot" w:pos="9072"/>
            </w:tabs>
          </w:pPr>
          <w:r>
            <w:fldChar w:fldCharType="begin"/>
          </w:r>
          <w:r>
            <w:instrText xml:space="preserve"> HYPERLINK \l _Toc6438 </w:instrText>
          </w:r>
          <w:r>
            <w:fldChar w:fldCharType="separate"/>
          </w:r>
          <w:r>
            <w:rPr>
              <w:rFonts w:hint="eastAsia" w:ascii="宋体" w:eastAsia="宋体"/>
              <w:szCs w:val="28"/>
              <w:shd w:val="clear" w:color="auto" w:fill="FFFFFF"/>
            </w:rPr>
            <w:t>1. 楼层侧向剪切刚度</w:t>
          </w:r>
          <w:r>
            <w:tab/>
          </w:r>
          <w:r>
            <w:fldChar w:fldCharType="begin"/>
          </w:r>
          <w:r>
            <w:instrText xml:space="preserve"> PAGEREF _Toc6438 \h </w:instrText>
          </w:r>
          <w:r>
            <w:fldChar w:fldCharType="separate"/>
          </w:r>
          <w:r>
            <w:t>27</w:t>
          </w:r>
          <w:r>
            <w:fldChar w:fldCharType="end"/>
          </w:r>
          <w:r>
            <w:fldChar w:fldCharType="end"/>
          </w:r>
        </w:p>
        <w:p>
          <w:pPr>
            <w:pStyle w:val="15"/>
            <w:tabs>
              <w:tab w:val="right" w:leader="dot" w:pos="9072"/>
            </w:tabs>
          </w:pPr>
          <w:r>
            <w:fldChar w:fldCharType="begin"/>
          </w:r>
          <w:r>
            <w:instrText xml:space="preserve"> HYPERLINK \l _Toc26873 </w:instrText>
          </w:r>
          <w:r>
            <w:fldChar w:fldCharType="separate"/>
          </w:r>
          <w:r>
            <w:rPr>
              <w:rFonts w:hint="eastAsia" w:ascii="宋体" w:eastAsia="宋体"/>
              <w:szCs w:val="28"/>
              <w:shd w:val="clear" w:color="auto" w:fill="FFFFFF"/>
            </w:rPr>
            <w:t>2. 楼层侧向剪弯刚度</w:t>
          </w:r>
          <w:r>
            <w:tab/>
          </w:r>
          <w:r>
            <w:fldChar w:fldCharType="begin"/>
          </w:r>
          <w:r>
            <w:instrText xml:space="preserve"> PAGEREF _Toc26873 \h </w:instrText>
          </w:r>
          <w:r>
            <w:fldChar w:fldCharType="separate"/>
          </w:r>
          <w:r>
            <w:t>29</w:t>
          </w:r>
          <w:r>
            <w:fldChar w:fldCharType="end"/>
          </w:r>
          <w:r>
            <w:fldChar w:fldCharType="end"/>
          </w:r>
        </w:p>
        <w:p>
          <w:pPr>
            <w:pStyle w:val="15"/>
            <w:tabs>
              <w:tab w:val="right" w:leader="dot" w:pos="9072"/>
            </w:tabs>
          </w:pPr>
          <w:r>
            <w:fldChar w:fldCharType="begin"/>
          </w:r>
          <w:r>
            <w:instrText xml:space="preserve"> HYPERLINK \l _Toc30999 </w:instrText>
          </w:r>
          <w:r>
            <w:fldChar w:fldCharType="separate"/>
          </w:r>
          <w:r>
            <w:rPr>
              <w:rFonts w:hint="eastAsia" w:ascii="宋体" w:eastAsia="宋体"/>
              <w:szCs w:val="28"/>
              <w:shd w:val="clear" w:color="auto" w:fill="FFFFFF"/>
            </w:rPr>
            <w:t>3. [楼层剪力/层间位移]刚度</w:t>
          </w:r>
          <w:r>
            <w:tab/>
          </w:r>
          <w:r>
            <w:fldChar w:fldCharType="begin"/>
          </w:r>
          <w:r>
            <w:instrText xml:space="preserve"> PAGEREF _Toc30999 \h </w:instrText>
          </w:r>
          <w:r>
            <w:fldChar w:fldCharType="separate"/>
          </w:r>
          <w:r>
            <w:t>30</w:t>
          </w:r>
          <w:r>
            <w:fldChar w:fldCharType="end"/>
          </w:r>
          <w:r>
            <w:fldChar w:fldCharType="end"/>
          </w:r>
        </w:p>
        <w:p>
          <w:pPr>
            <w:pStyle w:val="15"/>
            <w:tabs>
              <w:tab w:val="right" w:leader="dot" w:pos="9072"/>
            </w:tabs>
          </w:pPr>
          <w:r>
            <w:fldChar w:fldCharType="begin"/>
          </w:r>
          <w:r>
            <w:instrText xml:space="preserve"> HYPERLINK \l _Toc27434 </w:instrText>
          </w:r>
          <w:r>
            <w:fldChar w:fldCharType="separate"/>
          </w:r>
          <w:r>
            <w:rPr>
              <w:rFonts w:hint="eastAsia" w:ascii="宋体" w:eastAsia="宋体"/>
              <w:szCs w:val="28"/>
              <w:shd w:val="clear" w:color="auto" w:fill="FFFFFF"/>
            </w:rPr>
            <w:t>4. 各楼层受剪承载力</w:t>
          </w:r>
          <w:r>
            <w:tab/>
          </w:r>
          <w:r>
            <w:fldChar w:fldCharType="begin"/>
          </w:r>
          <w:r>
            <w:instrText xml:space="preserve"> PAGEREF _Toc27434 \h </w:instrText>
          </w:r>
          <w:r>
            <w:fldChar w:fldCharType="separate"/>
          </w:r>
          <w:r>
            <w:t>33</w:t>
          </w:r>
          <w:r>
            <w:fldChar w:fldCharType="end"/>
          </w:r>
          <w:r>
            <w:fldChar w:fldCharType="end"/>
          </w:r>
        </w:p>
        <w:p>
          <w:pPr>
            <w:pStyle w:val="15"/>
            <w:tabs>
              <w:tab w:val="right" w:leader="dot" w:pos="9072"/>
            </w:tabs>
          </w:pPr>
          <w:r>
            <w:fldChar w:fldCharType="begin"/>
          </w:r>
          <w:r>
            <w:instrText xml:space="preserve"> HYPERLINK \l _Toc2587 </w:instrText>
          </w:r>
          <w:r>
            <w:fldChar w:fldCharType="separate"/>
          </w:r>
          <w:r>
            <w:rPr>
              <w:rFonts w:hint="eastAsia" w:ascii="宋体" w:eastAsia="宋体"/>
              <w:szCs w:val="28"/>
              <w:shd w:val="clear" w:color="auto" w:fill="FFFFFF"/>
            </w:rPr>
            <w:t>5. 楼层薄弱层调整系数</w:t>
          </w:r>
          <w:r>
            <w:tab/>
          </w:r>
          <w:r>
            <w:fldChar w:fldCharType="begin"/>
          </w:r>
          <w:r>
            <w:instrText xml:space="preserve"> PAGEREF _Toc2587 \h </w:instrText>
          </w:r>
          <w:r>
            <w:fldChar w:fldCharType="separate"/>
          </w:r>
          <w:r>
            <w:t>34</w:t>
          </w:r>
          <w:r>
            <w:fldChar w:fldCharType="end"/>
          </w:r>
          <w:r>
            <w:fldChar w:fldCharType="end"/>
          </w:r>
        </w:p>
        <w:p>
          <w:pPr>
            <w:pStyle w:val="12"/>
            <w:tabs>
              <w:tab w:val="right" w:leader="dot" w:pos="9072"/>
            </w:tabs>
          </w:pPr>
          <w:r>
            <w:fldChar w:fldCharType="begin"/>
          </w:r>
          <w:r>
            <w:instrText xml:space="preserve"> HYPERLINK \l _Toc30841 </w:instrText>
          </w:r>
          <w:r>
            <w:fldChar w:fldCharType="separate"/>
          </w:r>
          <w:r>
            <w:rPr>
              <w:rFonts w:hint="eastAsia" w:ascii="宋体" w:eastAsia="宋体"/>
              <w:szCs w:val="32"/>
              <w:shd w:val="clear" w:color="auto" w:fill="FFFFFF"/>
            </w:rPr>
            <w:t>十一. 抗震分析及调整</w:t>
          </w:r>
          <w:r>
            <w:tab/>
          </w:r>
          <w:r>
            <w:fldChar w:fldCharType="begin"/>
          </w:r>
          <w:r>
            <w:instrText xml:space="preserve"> PAGEREF _Toc30841 \h </w:instrText>
          </w:r>
          <w:r>
            <w:fldChar w:fldCharType="separate"/>
          </w:r>
          <w:r>
            <w:t>35</w:t>
          </w:r>
          <w:r>
            <w:fldChar w:fldCharType="end"/>
          </w:r>
          <w:r>
            <w:fldChar w:fldCharType="end"/>
          </w:r>
        </w:p>
        <w:p>
          <w:pPr>
            <w:pStyle w:val="15"/>
            <w:tabs>
              <w:tab w:val="right" w:leader="dot" w:pos="9072"/>
            </w:tabs>
          </w:pPr>
          <w:r>
            <w:fldChar w:fldCharType="begin"/>
          </w:r>
          <w:r>
            <w:instrText xml:space="preserve"> HYPERLINK \l _Toc3007 </w:instrText>
          </w:r>
          <w:r>
            <w:fldChar w:fldCharType="separate"/>
          </w:r>
          <w:r>
            <w:rPr>
              <w:rFonts w:hint="eastAsia" w:ascii="宋体" w:eastAsia="宋体"/>
              <w:szCs w:val="28"/>
              <w:shd w:val="clear" w:color="auto" w:fill="FFFFFF"/>
            </w:rPr>
            <w:t>1. 结构周期及振型方向</w:t>
          </w:r>
          <w:r>
            <w:tab/>
          </w:r>
          <w:r>
            <w:fldChar w:fldCharType="begin"/>
          </w:r>
          <w:r>
            <w:instrText xml:space="preserve"> PAGEREF _Toc3007 \h </w:instrText>
          </w:r>
          <w:r>
            <w:fldChar w:fldCharType="separate"/>
          </w:r>
          <w:r>
            <w:t>35</w:t>
          </w:r>
          <w:r>
            <w:fldChar w:fldCharType="end"/>
          </w:r>
          <w:r>
            <w:fldChar w:fldCharType="end"/>
          </w:r>
        </w:p>
        <w:p>
          <w:pPr>
            <w:pStyle w:val="15"/>
            <w:tabs>
              <w:tab w:val="right" w:leader="dot" w:pos="9072"/>
            </w:tabs>
          </w:pPr>
          <w:r>
            <w:fldChar w:fldCharType="begin"/>
          </w:r>
          <w:r>
            <w:instrText xml:space="preserve"> HYPERLINK \l _Toc14070 </w:instrText>
          </w:r>
          <w:r>
            <w:fldChar w:fldCharType="separate"/>
          </w:r>
          <w:r>
            <w:rPr>
              <w:rFonts w:hint="eastAsia" w:ascii="宋体" w:eastAsia="宋体"/>
              <w:szCs w:val="28"/>
              <w:shd w:val="clear" w:color="auto" w:fill="FFFFFF"/>
            </w:rPr>
            <w:t>2. 考虑各方向地震作用时的振型参与系数（考虑耦联）</w:t>
          </w:r>
          <w:r>
            <w:tab/>
          </w:r>
          <w:r>
            <w:fldChar w:fldCharType="begin"/>
          </w:r>
          <w:r>
            <w:instrText xml:space="preserve"> PAGEREF _Toc14070 \h </w:instrText>
          </w:r>
          <w:r>
            <w:fldChar w:fldCharType="separate"/>
          </w:r>
          <w:r>
            <w:t>37</w:t>
          </w:r>
          <w:r>
            <w:fldChar w:fldCharType="end"/>
          </w:r>
          <w:r>
            <w:fldChar w:fldCharType="end"/>
          </w:r>
        </w:p>
        <w:p>
          <w:pPr>
            <w:pStyle w:val="15"/>
            <w:tabs>
              <w:tab w:val="right" w:leader="dot" w:pos="9072"/>
            </w:tabs>
          </w:pPr>
          <w:r>
            <w:fldChar w:fldCharType="begin"/>
          </w:r>
          <w:r>
            <w:instrText xml:space="preserve"> HYPERLINK \l _Toc17830 </w:instrText>
          </w:r>
          <w:r>
            <w:fldChar w:fldCharType="separate"/>
          </w:r>
          <w:r>
            <w:rPr>
              <w:rFonts w:hint="eastAsia" w:ascii="宋体" w:eastAsia="宋体"/>
              <w:szCs w:val="28"/>
              <w:shd w:val="clear" w:color="auto" w:fill="FFFFFF"/>
            </w:rPr>
            <w:t>3. 各地震方向参与振型的有效质量系数</w:t>
          </w:r>
          <w:r>
            <w:tab/>
          </w:r>
          <w:r>
            <w:fldChar w:fldCharType="begin"/>
          </w:r>
          <w:r>
            <w:instrText xml:space="preserve"> PAGEREF _Toc17830 \h </w:instrText>
          </w:r>
          <w:r>
            <w:fldChar w:fldCharType="separate"/>
          </w:r>
          <w:r>
            <w:t>37</w:t>
          </w:r>
          <w:r>
            <w:fldChar w:fldCharType="end"/>
          </w:r>
          <w:r>
            <w:fldChar w:fldCharType="end"/>
          </w:r>
        </w:p>
        <w:p>
          <w:pPr>
            <w:pStyle w:val="15"/>
            <w:tabs>
              <w:tab w:val="right" w:leader="dot" w:pos="9072"/>
            </w:tabs>
          </w:pPr>
          <w:r>
            <w:fldChar w:fldCharType="begin"/>
          </w:r>
          <w:r>
            <w:instrText xml:space="preserve"> HYPERLINK \l _Toc27208 </w:instrText>
          </w:r>
          <w:r>
            <w:fldChar w:fldCharType="separate"/>
          </w:r>
          <w:r>
            <w:rPr>
              <w:rFonts w:hint="eastAsia" w:ascii="宋体" w:eastAsia="宋体"/>
              <w:szCs w:val="28"/>
              <w:shd w:val="clear" w:color="auto" w:fill="FFFFFF"/>
            </w:rPr>
            <w:t>4. 各振型的地震力(按抗规5.2.5调整前)</w:t>
          </w:r>
          <w:r>
            <w:tab/>
          </w:r>
          <w:r>
            <w:fldChar w:fldCharType="begin"/>
          </w:r>
          <w:r>
            <w:instrText xml:space="preserve"> PAGEREF _Toc27208 \h </w:instrText>
          </w:r>
          <w:r>
            <w:fldChar w:fldCharType="separate"/>
          </w:r>
          <w:r>
            <w:t>38</w:t>
          </w:r>
          <w:r>
            <w:fldChar w:fldCharType="end"/>
          </w:r>
          <w:r>
            <w:fldChar w:fldCharType="end"/>
          </w:r>
        </w:p>
        <w:p>
          <w:pPr>
            <w:pStyle w:val="15"/>
            <w:tabs>
              <w:tab w:val="right" w:leader="dot" w:pos="9072"/>
            </w:tabs>
          </w:pPr>
          <w:r>
            <w:fldChar w:fldCharType="begin"/>
          </w:r>
          <w:r>
            <w:instrText xml:space="preserve"> HYPERLINK \l _Toc17726 </w:instrText>
          </w:r>
          <w:r>
            <w:fldChar w:fldCharType="separate"/>
          </w:r>
          <w:r>
            <w:rPr>
              <w:rFonts w:hint="eastAsia" w:ascii="宋体" w:eastAsia="宋体"/>
              <w:szCs w:val="28"/>
              <w:shd w:val="clear" w:color="auto" w:fill="FFFFFF"/>
            </w:rPr>
            <w:t>5. 各振型的基底剪力</w:t>
          </w:r>
          <w:r>
            <w:tab/>
          </w:r>
          <w:r>
            <w:fldChar w:fldCharType="begin"/>
          </w:r>
          <w:r>
            <w:instrText xml:space="preserve"> PAGEREF _Toc17726 \h </w:instrText>
          </w:r>
          <w:r>
            <w:fldChar w:fldCharType="separate"/>
          </w:r>
          <w:r>
            <w:t>39</w:t>
          </w:r>
          <w:r>
            <w:fldChar w:fldCharType="end"/>
          </w:r>
          <w:r>
            <w:fldChar w:fldCharType="end"/>
          </w:r>
        </w:p>
        <w:p>
          <w:pPr>
            <w:pStyle w:val="15"/>
            <w:tabs>
              <w:tab w:val="right" w:leader="dot" w:pos="9072"/>
            </w:tabs>
          </w:pPr>
          <w:r>
            <w:fldChar w:fldCharType="begin"/>
          </w:r>
          <w:r>
            <w:instrText xml:space="preserve"> HYPERLINK \l _Toc26878 </w:instrText>
          </w:r>
          <w:r>
            <w:fldChar w:fldCharType="separate"/>
          </w:r>
          <w:r>
            <w:rPr>
              <w:rFonts w:hint="eastAsia" w:ascii="宋体" w:eastAsia="宋体"/>
              <w:szCs w:val="28"/>
              <w:shd w:val="clear" w:color="auto" w:fill="FFFFFF"/>
            </w:rPr>
            <w:t>6. 地震作用下结构剪重比及其调整</w:t>
          </w:r>
          <w:r>
            <w:tab/>
          </w:r>
          <w:r>
            <w:fldChar w:fldCharType="begin"/>
          </w:r>
          <w:r>
            <w:instrText xml:space="preserve"> PAGEREF _Toc26878 \h </w:instrText>
          </w:r>
          <w:r>
            <w:fldChar w:fldCharType="separate"/>
          </w:r>
          <w:r>
            <w:t>40</w:t>
          </w:r>
          <w:r>
            <w:fldChar w:fldCharType="end"/>
          </w:r>
          <w:r>
            <w:fldChar w:fldCharType="end"/>
          </w:r>
        </w:p>
        <w:p>
          <w:pPr>
            <w:pStyle w:val="15"/>
            <w:tabs>
              <w:tab w:val="right" w:leader="dot" w:pos="9072"/>
            </w:tabs>
          </w:pPr>
          <w:r>
            <w:fldChar w:fldCharType="begin"/>
          </w:r>
          <w:r>
            <w:instrText xml:space="preserve"> HYPERLINK \l _Toc29254 </w:instrText>
          </w:r>
          <w:r>
            <w:fldChar w:fldCharType="separate"/>
          </w:r>
          <w:r>
            <w:rPr>
              <w:rFonts w:hint="eastAsia" w:ascii="宋体" w:eastAsia="宋体"/>
              <w:szCs w:val="28"/>
              <w:shd w:val="clear" w:color="auto" w:fill="FFFFFF"/>
            </w:rPr>
            <w:t>7. 偶然偏心信息</w:t>
          </w:r>
          <w:r>
            <w:tab/>
          </w:r>
          <w:r>
            <w:fldChar w:fldCharType="begin"/>
          </w:r>
          <w:r>
            <w:instrText xml:space="preserve"> PAGEREF _Toc29254 \h </w:instrText>
          </w:r>
          <w:r>
            <w:fldChar w:fldCharType="separate"/>
          </w:r>
          <w:r>
            <w:t>44</w:t>
          </w:r>
          <w:r>
            <w:fldChar w:fldCharType="end"/>
          </w:r>
          <w:r>
            <w:fldChar w:fldCharType="end"/>
          </w:r>
        </w:p>
        <w:p>
          <w:pPr>
            <w:pStyle w:val="12"/>
            <w:tabs>
              <w:tab w:val="right" w:leader="dot" w:pos="9072"/>
            </w:tabs>
          </w:pPr>
          <w:r>
            <w:fldChar w:fldCharType="begin"/>
          </w:r>
          <w:r>
            <w:instrText xml:space="preserve"> HYPERLINK \l _Toc384 </w:instrText>
          </w:r>
          <w:r>
            <w:fldChar w:fldCharType="separate"/>
          </w:r>
          <w:r>
            <w:rPr>
              <w:rFonts w:hint="eastAsia" w:ascii="宋体" w:eastAsia="宋体"/>
              <w:szCs w:val="32"/>
              <w:shd w:val="clear" w:color="auto" w:fill="FFFFFF"/>
            </w:rPr>
            <w:t>十二. 结构体系指标及二道防线调整</w:t>
          </w:r>
          <w:r>
            <w:tab/>
          </w:r>
          <w:r>
            <w:fldChar w:fldCharType="begin"/>
          </w:r>
          <w:r>
            <w:instrText xml:space="preserve"> PAGEREF _Toc384 \h </w:instrText>
          </w:r>
          <w:r>
            <w:fldChar w:fldCharType="separate"/>
          </w:r>
          <w:r>
            <w:t>45</w:t>
          </w:r>
          <w:r>
            <w:fldChar w:fldCharType="end"/>
          </w:r>
          <w:r>
            <w:fldChar w:fldCharType="end"/>
          </w:r>
        </w:p>
        <w:p>
          <w:pPr>
            <w:pStyle w:val="15"/>
            <w:tabs>
              <w:tab w:val="right" w:leader="dot" w:pos="9072"/>
            </w:tabs>
          </w:pPr>
          <w:r>
            <w:fldChar w:fldCharType="begin"/>
          </w:r>
          <w:r>
            <w:instrText xml:space="preserve"> HYPERLINK \l _Toc30865 </w:instrText>
          </w:r>
          <w:r>
            <w:fldChar w:fldCharType="separate"/>
          </w:r>
          <w:r>
            <w:rPr>
              <w:rFonts w:hint="eastAsia" w:ascii="宋体" w:eastAsia="宋体"/>
              <w:szCs w:val="28"/>
              <w:shd w:val="clear" w:color="auto" w:fill="FFFFFF"/>
            </w:rPr>
            <w:t>1. 各层规定水平力</w:t>
          </w:r>
          <w:r>
            <w:tab/>
          </w:r>
          <w:r>
            <w:fldChar w:fldCharType="begin"/>
          </w:r>
          <w:r>
            <w:instrText xml:space="preserve"> PAGEREF _Toc30865 \h </w:instrText>
          </w:r>
          <w:r>
            <w:fldChar w:fldCharType="separate"/>
          </w:r>
          <w:r>
            <w:t>45</w:t>
          </w:r>
          <w:r>
            <w:fldChar w:fldCharType="end"/>
          </w:r>
          <w:r>
            <w:fldChar w:fldCharType="end"/>
          </w:r>
        </w:p>
        <w:p>
          <w:pPr>
            <w:pStyle w:val="15"/>
            <w:tabs>
              <w:tab w:val="right" w:leader="dot" w:pos="9072"/>
            </w:tabs>
          </w:pPr>
          <w:r>
            <w:fldChar w:fldCharType="begin"/>
          </w:r>
          <w:r>
            <w:instrText xml:space="preserve"> HYPERLINK \l _Toc29524 </w:instrText>
          </w:r>
          <w:r>
            <w:fldChar w:fldCharType="separate"/>
          </w:r>
          <w:r>
            <w:rPr>
              <w:rFonts w:hint="eastAsia" w:ascii="宋体" w:eastAsia="宋体"/>
              <w:szCs w:val="28"/>
              <w:shd w:val="clear" w:color="auto" w:fill="FFFFFF"/>
            </w:rPr>
            <w:t>2. 竖向构件倾覆力矩及百分比(抗规方式)</w:t>
          </w:r>
          <w:r>
            <w:tab/>
          </w:r>
          <w:r>
            <w:fldChar w:fldCharType="begin"/>
          </w:r>
          <w:r>
            <w:instrText xml:space="preserve"> PAGEREF _Toc29524 \h </w:instrText>
          </w:r>
          <w:r>
            <w:fldChar w:fldCharType="separate"/>
          </w:r>
          <w:r>
            <w:t>46</w:t>
          </w:r>
          <w:r>
            <w:fldChar w:fldCharType="end"/>
          </w:r>
          <w:r>
            <w:fldChar w:fldCharType="end"/>
          </w:r>
        </w:p>
        <w:p>
          <w:pPr>
            <w:pStyle w:val="15"/>
            <w:tabs>
              <w:tab w:val="right" w:leader="dot" w:pos="9072"/>
            </w:tabs>
          </w:pPr>
          <w:r>
            <w:fldChar w:fldCharType="begin"/>
          </w:r>
          <w:r>
            <w:instrText xml:space="preserve"> HYPERLINK \l _Toc14485 </w:instrText>
          </w:r>
          <w:r>
            <w:fldChar w:fldCharType="separate"/>
          </w:r>
          <w:r>
            <w:rPr>
              <w:rFonts w:hint="eastAsia" w:ascii="宋体" w:eastAsia="宋体"/>
              <w:szCs w:val="28"/>
              <w:shd w:val="clear" w:color="auto" w:fill="FFFFFF"/>
            </w:rPr>
            <w:t>3. 竖向构件倾覆力矩及百分比(力学方式)</w:t>
          </w:r>
          <w:r>
            <w:tab/>
          </w:r>
          <w:r>
            <w:fldChar w:fldCharType="begin"/>
          </w:r>
          <w:r>
            <w:instrText xml:space="preserve"> PAGEREF _Toc14485 \h </w:instrText>
          </w:r>
          <w:r>
            <w:fldChar w:fldCharType="separate"/>
          </w:r>
          <w:r>
            <w:t>49</w:t>
          </w:r>
          <w:r>
            <w:fldChar w:fldCharType="end"/>
          </w:r>
          <w:r>
            <w:fldChar w:fldCharType="end"/>
          </w:r>
        </w:p>
        <w:p>
          <w:pPr>
            <w:pStyle w:val="15"/>
            <w:tabs>
              <w:tab w:val="right" w:leader="dot" w:pos="9072"/>
            </w:tabs>
          </w:pPr>
          <w:r>
            <w:fldChar w:fldCharType="begin"/>
          </w:r>
          <w:r>
            <w:instrText xml:space="preserve"> HYPERLINK \l _Toc2014 </w:instrText>
          </w:r>
          <w:r>
            <w:fldChar w:fldCharType="separate"/>
          </w:r>
          <w:r>
            <w:rPr>
              <w:rFonts w:hint="eastAsia" w:ascii="宋体" w:eastAsia="宋体"/>
              <w:szCs w:val="28"/>
              <w:shd w:val="clear" w:color="auto" w:fill="FFFFFF"/>
            </w:rPr>
            <w:t>4. 竖向构件地震剪力及百分比</w:t>
          </w:r>
          <w:r>
            <w:tab/>
          </w:r>
          <w:r>
            <w:fldChar w:fldCharType="begin"/>
          </w:r>
          <w:r>
            <w:instrText xml:space="preserve"> PAGEREF _Toc2014 \h </w:instrText>
          </w:r>
          <w:r>
            <w:fldChar w:fldCharType="separate"/>
          </w:r>
          <w:r>
            <w:t>51</w:t>
          </w:r>
          <w:r>
            <w:fldChar w:fldCharType="end"/>
          </w:r>
          <w:r>
            <w:fldChar w:fldCharType="end"/>
          </w:r>
        </w:p>
        <w:p>
          <w:pPr>
            <w:pStyle w:val="12"/>
            <w:tabs>
              <w:tab w:val="right" w:leader="dot" w:pos="9072"/>
            </w:tabs>
          </w:pPr>
          <w:r>
            <w:fldChar w:fldCharType="begin"/>
          </w:r>
          <w:r>
            <w:instrText xml:space="preserve"> HYPERLINK \l _Toc15826 </w:instrText>
          </w:r>
          <w:r>
            <w:fldChar w:fldCharType="separate"/>
          </w:r>
          <w:r>
            <w:rPr>
              <w:rFonts w:hint="eastAsia" w:ascii="宋体" w:eastAsia="宋体"/>
              <w:szCs w:val="32"/>
              <w:shd w:val="clear" w:color="auto" w:fill="FFFFFF"/>
            </w:rPr>
            <w:t>十三. 变形验算</w:t>
          </w:r>
          <w:r>
            <w:tab/>
          </w:r>
          <w:r>
            <w:fldChar w:fldCharType="begin"/>
          </w:r>
          <w:r>
            <w:instrText xml:space="preserve"> PAGEREF _Toc15826 \h </w:instrText>
          </w:r>
          <w:r>
            <w:fldChar w:fldCharType="separate"/>
          </w:r>
          <w:r>
            <w:t>53</w:t>
          </w:r>
          <w:r>
            <w:fldChar w:fldCharType="end"/>
          </w:r>
          <w:r>
            <w:fldChar w:fldCharType="end"/>
          </w:r>
        </w:p>
        <w:p>
          <w:pPr>
            <w:pStyle w:val="15"/>
            <w:tabs>
              <w:tab w:val="right" w:leader="dot" w:pos="9072"/>
            </w:tabs>
          </w:pPr>
          <w:r>
            <w:fldChar w:fldCharType="begin"/>
          </w:r>
          <w:r>
            <w:instrText xml:space="preserve"> HYPERLINK \l _Toc28094 </w:instrText>
          </w:r>
          <w:r>
            <w:fldChar w:fldCharType="separate"/>
          </w:r>
          <w:r>
            <w:rPr>
              <w:rFonts w:hint="eastAsia" w:ascii="宋体" w:eastAsia="宋体"/>
              <w:szCs w:val="28"/>
              <w:shd w:val="clear" w:color="auto" w:fill="FFFFFF"/>
            </w:rPr>
            <w:t>1. 普通结构楼层位移指标统计</w:t>
          </w:r>
          <w:r>
            <w:tab/>
          </w:r>
          <w:r>
            <w:fldChar w:fldCharType="begin"/>
          </w:r>
          <w:r>
            <w:instrText xml:space="preserve"> PAGEREF _Toc28094 \h </w:instrText>
          </w:r>
          <w:r>
            <w:fldChar w:fldCharType="separate"/>
          </w:r>
          <w:r>
            <w:t>53</w:t>
          </w:r>
          <w:r>
            <w:fldChar w:fldCharType="end"/>
          </w:r>
          <w:r>
            <w:fldChar w:fldCharType="end"/>
          </w:r>
        </w:p>
        <w:p>
          <w:pPr>
            <w:pStyle w:val="15"/>
            <w:tabs>
              <w:tab w:val="right" w:leader="dot" w:pos="9072"/>
            </w:tabs>
          </w:pPr>
          <w:r>
            <w:fldChar w:fldCharType="begin"/>
          </w:r>
          <w:r>
            <w:instrText xml:space="preserve"> HYPERLINK \l _Toc28947 </w:instrText>
          </w:r>
          <w:r>
            <w:fldChar w:fldCharType="separate"/>
          </w:r>
          <w:r>
            <w:rPr>
              <w:rFonts w:hint="eastAsia" w:ascii="宋体" w:eastAsia="宋体"/>
              <w:szCs w:val="28"/>
              <w:shd w:val="clear" w:color="auto" w:fill="FFFFFF"/>
            </w:rPr>
            <w:t>2. 大震下弹塑性层间位移角</w:t>
          </w:r>
          <w:r>
            <w:tab/>
          </w:r>
          <w:r>
            <w:fldChar w:fldCharType="begin"/>
          </w:r>
          <w:r>
            <w:instrText xml:space="preserve"> PAGEREF _Toc28947 \h </w:instrText>
          </w:r>
          <w:r>
            <w:fldChar w:fldCharType="separate"/>
          </w:r>
          <w:r>
            <w:t>64</w:t>
          </w:r>
          <w:r>
            <w:fldChar w:fldCharType="end"/>
          </w:r>
          <w:r>
            <w:fldChar w:fldCharType="end"/>
          </w:r>
        </w:p>
        <w:p>
          <w:pPr>
            <w:pStyle w:val="12"/>
            <w:tabs>
              <w:tab w:val="right" w:leader="dot" w:pos="9072"/>
            </w:tabs>
          </w:pPr>
          <w:r>
            <w:fldChar w:fldCharType="begin"/>
          </w:r>
          <w:r>
            <w:instrText xml:space="preserve"> HYPERLINK \l _Toc21622 </w:instrText>
          </w:r>
          <w:r>
            <w:fldChar w:fldCharType="separate"/>
          </w:r>
          <w:r>
            <w:rPr>
              <w:rFonts w:hint="eastAsia" w:ascii="宋体" w:eastAsia="宋体"/>
              <w:szCs w:val="32"/>
              <w:shd w:val="clear" w:color="auto" w:fill="FFFFFF"/>
            </w:rPr>
            <w:t>十四. 结构顶点风振加速度</w:t>
          </w:r>
          <w:r>
            <w:tab/>
          </w:r>
          <w:r>
            <w:fldChar w:fldCharType="begin"/>
          </w:r>
          <w:r>
            <w:instrText xml:space="preserve"> PAGEREF _Toc21622 \h </w:instrText>
          </w:r>
          <w:r>
            <w:fldChar w:fldCharType="separate"/>
          </w:r>
          <w:r>
            <w:t>71</w:t>
          </w:r>
          <w:r>
            <w:fldChar w:fldCharType="end"/>
          </w:r>
          <w:r>
            <w:fldChar w:fldCharType="end"/>
          </w:r>
        </w:p>
        <w:p>
          <w:pPr>
            <w:pStyle w:val="12"/>
            <w:tabs>
              <w:tab w:val="right" w:leader="dot" w:pos="9072"/>
            </w:tabs>
          </w:pPr>
          <w:r>
            <w:fldChar w:fldCharType="begin"/>
          </w:r>
          <w:r>
            <w:instrText xml:space="preserve"> HYPERLINK \l _Toc11799 </w:instrText>
          </w:r>
          <w:r>
            <w:fldChar w:fldCharType="separate"/>
          </w:r>
          <w:r>
            <w:rPr>
              <w:rFonts w:hint="eastAsia" w:ascii="宋体" w:eastAsia="宋体"/>
              <w:szCs w:val="32"/>
              <w:shd w:val="clear" w:color="auto" w:fill="FFFFFF"/>
            </w:rPr>
            <w:t>十五. 抗倾覆和稳定验算</w:t>
          </w:r>
          <w:r>
            <w:tab/>
          </w:r>
          <w:r>
            <w:fldChar w:fldCharType="begin"/>
          </w:r>
          <w:r>
            <w:instrText xml:space="preserve"> PAGEREF _Toc11799 \h </w:instrText>
          </w:r>
          <w:r>
            <w:fldChar w:fldCharType="separate"/>
          </w:r>
          <w:r>
            <w:t>72</w:t>
          </w:r>
          <w:r>
            <w:fldChar w:fldCharType="end"/>
          </w:r>
          <w:r>
            <w:fldChar w:fldCharType="end"/>
          </w:r>
        </w:p>
        <w:p>
          <w:pPr>
            <w:pStyle w:val="15"/>
            <w:tabs>
              <w:tab w:val="right" w:leader="dot" w:pos="9072"/>
            </w:tabs>
          </w:pPr>
          <w:r>
            <w:fldChar w:fldCharType="begin"/>
          </w:r>
          <w:r>
            <w:instrText xml:space="preserve"> HYPERLINK \l _Toc29193 </w:instrText>
          </w:r>
          <w:r>
            <w:fldChar w:fldCharType="separate"/>
          </w:r>
          <w:r>
            <w:rPr>
              <w:rFonts w:hint="eastAsia" w:ascii="宋体" w:eastAsia="宋体"/>
              <w:szCs w:val="28"/>
              <w:shd w:val="clear" w:color="auto" w:fill="FFFFFF"/>
            </w:rPr>
            <w:t>1. 抗倾覆验算</w:t>
          </w:r>
          <w:r>
            <w:tab/>
          </w:r>
          <w:r>
            <w:fldChar w:fldCharType="begin"/>
          </w:r>
          <w:r>
            <w:instrText xml:space="preserve"> PAGEREF _Toc29193 \h </w:instrText>
          </w:r>
          <w:r>
            <w:fldChar w:fldCharType="separate"/>
          </w:r>
          <w:r>
            <w:t>72</w:t>
          </w:r>
          <w:r>
            <w:fldChar w:fldCharType="end"/>
          </w:r>
          <w:r>
            <w:fldChar w:fldCharType="end"/>
          </w:r>
        </w:p>
        <w:p>
          <w:pPr>
            <w:pStyle w:val="15"/>
            <w:tabs>
              <w:tab w:val="right" w:leader="dot" w:pos="9072"/>
            </w:tabs>
          </w:pPr>
          <w:r>
            <w:fldChar w:fldCharType="begin"/>
          </w:r>
          <w:r>
            <w:instrText xml:space="preserve"> HYPERLINK \l _Toc24357 </w:instrText>
          </w:r>
          <w:r>
            <w:fldChar w:fldCharType="separate"/>
          </w:r>
          <w:r>
            <w:rPr>
              <w:rFonts w:hint="eastAsia" w:ascii="宋体" w:eastAsia="宋体"/>
              <w:szCs w:val="28"/>
              <w:shd w:val="clear" w:color="auto" w:fill="FFFFFF"/>
            </w:rPr>
            <w:t>2. 整体稳定刚重比验算</w:t>
          </w:r>
          <w:r>
            <w:tab/>
          </w:r>
          <w:r>
            <w:fldChar w:fldCharType="begin"/>
          </w:r>
          <w:r>
            <w:instrText xml:space="preserve"> PAGEREF _Toc24357 \h </w:instrText>
          </w:r>
          <w:r>
            <w:fldChar w:fldCharType="separate"/>
          </w:r>
          <w:r>
            <w:t>72</w:t>
          </w:r>
          <w:r>
            <w:fldChar w:fldCharType="end"/>
          </w:r>
          <w:r>
            <w:fldChar w:fldCharType="end"/>
          </w:r>
        </w:p>
        <w:p>
          <w:pPr>
            <w:pStyle w:val="15"/>
            <w:tabs>
              <w:tab w:val="right" w:leader="dot" w:pos="9072"/>
            </w:tabs>
          </w:pPr>
          <w:r>
            <w:fldChar w:fldCharType="begin"/>
          </w:r>
          <w:r>
            <w:instrText xml:space="preserve"> HYPERLINK \l _Toc10917 </w:instrText>
          </w:r>
          <w:r>
            <w:fldChar w:fldCharType="separate"/>
          </w:r>
          <w:r>
            <w:rPr>
              <w:rFonts w:hint="eastAsia" w:ascii="宋体" w:eastAsia="宋体"/>
              <w:szCs w:val="28"/>
              <w:shd w:val="clear" w:color="auto" w:fill="FFFFFF"/>
            </w:rPr>
            <w:t>3. 二阶效应系数及内力放大</w:t>
          </w:r>
          <w:r>
            <w:tab/>
          </w:r>
          <w:r>
            <w:fldChar w:fldCharType="begin"/>
          </w:r>
          <w:r>
            <w:instrText xml:space="preserve"> PAGEREF _Toc10917 \h </w:instrText>
          </w:r>
          <w:r>
            <w:fldChar w:fldCharType="separate"/>
          </w:r>
          <w:r>
            <w:t>73</w:t>
          </w:r>
          <w:r>
            <w:fldChar w:fldCharType="end"/>
          </w:r>
          <w:r>
            <w:fldChar w:fldCharType="end"/>
          </w:r>
        </w:p>
        <w:p>
          <w:pPr>
            <w:pStyle w:val="12"/>
            <w:tabs>
              <w:tab w:val="right" w:leader="dot" w:pos="9072"/>
            </w:tabs>
          </w:pPr>
          <w:r>
            <w:fldChar w:fldCharType="begin"/>
          </w:r>
          <w:r>
            <w:instrText xml:space="preserve"> HYPERLINK \l _Toc5783 </w:instrText>
          </w:r>
          <w:r>
            <w:fldChar w:fldCharType="separate"/>
          </w:r>
          <w:r>
            <w:rPr>
              <w:rFonts w:hint="eastAsia" w:ascii="宋体" w:eastAsia="宋体"/>
              <w:szCs w:val="32"/>
              <w:shd w:val="clear" w:color="auto" w:fill="FFFFFF"/>
            </w:rPr>
            <w:t>十六. 结构分析及设计结果简图</w:t>
          </w:r>
          <w:r>
            <w:tab/>
          </w:r>
          <w:r>
            <w:fldChar w:fldCharType="begin"/>
          </w:r>
          <w:r>
            <w:instrText xml:space="preserve"> PAGEREF _Toc5783 \h </w:instrText>
          </w:r>
          <w:r>
            <w:fldChar w:fldCharType="separate"/>
          </w:r>
          <w:r>
            <w:t>74</w:t>
          </w:r>
          <w:r>
            <w:fldChar w:fldCharType="end"/>
          </w:r>
          <w:r>
            <w:fldChar w:fldCharType="end"/>
          </w:r>
        </w:p>
        <w:p>
          <w:pPr>
            <w:pStyle w:val="15"/>
            <w:tabs>
              <w:tab w:val="right" w:leader="dot" w:pos="9072"/>
            </w:tabs>
          </w:pPr>
          <w:r>
            <w:fldChar w:fldCharType="begin"/>
          </w:r>
          <w:r>
            <w:instrText xml:space="preserve"> HYPERLINK \l _Toc4768 </w:instrText>
          </w:r>
          <w:r>
            <w:fldChar w:fldCharType="separate"/>
          </w:r>
          <w:r>
            <w:rPr>
              <w:rFonts w:hint="eastAsia" w:ascii="宋体" w:eastAsia="宋体"/>
              <w:szCs w:val="28"/>
              <w:shd w:val="clear" w:color="auto" w:fill="FFFFFF"/>
            </w:rPr>
            <w:t>1. 结构平面简图</w:t>
          </w:r>
          <w:r>
            <w:tab/>
          </w:r>
          <w:r>
            <w:fldChar w:fldCharType="begin"/>
          </w:r>
          <w:r>
            <w:instrText xml:space="preserve"> PAGEREF _Toc4768 \h </w:instrText>
          </w:r>
          <w:r>
            <w:fldChar w:fldCharType="separate"/>
          </w:r>
          <w:r>
            <w:t>75</w:t>
          </w:r>
          <w:r>
            <w:fldChar w:fldCharType="end"/>
          </w:r>
          <w:r>
            <w:fldChar w:fldCharType="end"/>
          </w:r>
        </w:p>
        <w:p>
          <w:pPr>
            <w:pStyle w:val="15"/>
            <w:tabs>
              <w:tab w:val="right" w:leader="dot" w:pos="9072"/>
            </w:tabs>
          </w:pPr>
          <w:r>
            <w:fldChar w:fldCharType="begin"/>
          </w:r>
          <w:r>
            <w:instrText xml:space="preserve"> HYPERLINK \l _Toc7518 </w:instrText>
          </w:r>
          <w:r>
            <w:fldChar w:fldCharType="separate"/>
          </w:r>
          <w:r>
            <w:rPr>
              <w:rFonts w:hint="eastAsia" w:ascii="宋体" w:eastAsia="宋体"/>
              <w:szCs w:val="28"/>
              <w:shd w:val="clear" w:color="auto" w:fill="FFFFFF"/>
            </w:rPr>
            <w:t>2. 荷载简图</w:t>
          </w:r>
          <w:r>
            <w:tab/>
          </w:r>
          <w:r>
            <w:fldChar w:fldCharType="begin"/>
          </w:r>
          <w:r>
            <w:instrText xml:space="preserve"> PAGEREF _Toc7518 \h </w:instrText>
          </w:r>
          <w:r>
            <w:fldChar w:fldCharType="separate"/>
          </w:r>
          <w:r>
            <w:t>76</w:t>
          </w:r>
          <w:r>
            <w:fldChar w:fldCharType="end"/>
          </w:r>
          <w:r>
            <w:fldChar w:fldCharType="end"/>
          </w:r>
        </w:p>
        <w:p>
          <w:pPr>
            <w:pStyle w:val="15"/>
            <w:tabs>
              <w:tab w:val="right" w:leader="dot" w:pos="9072"/>
            </w:tabs>
          </w:pPr>
          <w:r>
            <w:fldChar w:fldCharType="begin"/>
          </w:r>
          <w:r>
            <w:instrText xml:space="preserve"> HYPERLINK \l _Toc1352 </w:instrText>
          </w:r>
          <w:r>
            <w:fldChar w:fldCharType="separate"/>
          </w:r>
          <w:r>
            <w:rPr>
              <w:rFonts w:hint="eastAsia" w:ascii="宋体" w:eastAsia="宋体"/>
              <w:szCs w:val="28"/>
              <w:shd w:val="clear" w:color="auto" w:fill="FFFFFF"/>
            </w:rPr>
            <w:t>3. 配筋简图</w:t>
          </w:r>
          <w:r>
            <w:tab/>
          </w:r>
          <w:r>
            <w:fldChar w:fldCharType="begin"/>
          </w:r>
          <w:r>
            <w:instrText xml:space="preserve"> PAGEREF _Toc1352 \h </w:instrText>
          </w:r>
          <w:r>
            <w:fldChar w:fldCharType="separate"/>
          </w:r>
          <w:r>
            <w:t>77</w:t>
          </w:r>
          <w:r>
            <w:fldChar w:fldCharType="end"/>
          </w:r>
          <w:r>
            <w:fldChar w:fldCharType="end"/>
          </w:r>
        </w:p>
        <w:p>
          <w:pPr>
            <w:pStyle w:val="15"/>
            <w:tabs>
              <w:tab w:val="right" w:leader="dot" w:pos="9072"/>
            </w:tabs>
          </w:pPr>
          <w:r>
            <w:fldChar w:fldCharType="begin"/>
          </w:r>
          <w:r>
            <w:instrText xml:space="preserve"> HYPERLINK \l _Toc26382 </w:instrText>
          </w:r>
          <w:r>
            <w:fldChar w:fldCharType="separate"/>
          </w:r>
          <w:r>
            <w:rPr>
              <w:rFonts w:hint="eastAsia" w:ascii="宋体" w:eastAsia="宋体"/>
              <w:szCs w:val="28"/>
              <w:shd w:val="clear" w:color="auto" w:fill="FFFFFF"/>
            </w:rPr>
            <w:t>4. 边缘构件简图</w:t>
          </w:r>
          <w:r>
            <w:tab/>
          </w:r>
          <w:r>
            <w:fldChar w:fldCharType="begin"/>
          </w:r>
          <w:r>
            <w:instrText xml:space="preserve"> PAGEREF _Toc26382 \h </w:instrText>
          </w:r>
          <w:r>
            <w:fldChar w:fldCharType="separate"/>
          </w:r>
          <w:r>
            <w:t>78</w:t>
          </w:r>
          <w:r>
            <w:fldChar w:fldCharType="end"/>
          </w:r>
          <w:r>
            <w:fldChar w:fldCharType="end"/>
          </w:r>
        </w:p>
        <w:p>
          <w:pPr>
            <w:pStyle w:val="15"/>
            <w:tabs>
              <w:tab w:val="right" w:leader="dot" w:pos="9072"/>
            </w:tabs>
          </w:pPr>
          <w:r>
            <w:fldChar w:fldCharType="begin"/>
          </w:r>
          <w:r>
            <w:instrText xml:space="preserve"> HYPERLINK \l _Toc8029 </w:instrText>
          </w:r>
          <w:r>
            <w:fldChar w:fldCharType="separate"/>
          </w:r>
          <w:r>
            <w:rPr>
              <w:rFonts w:hint="eastAsia" w:ascii="宋体" w:eastAsia="宋体"/>
              <w:szCs w:val="28"/>
              <w:shd w:val="clear" w:color="auto" w:fill="FFFFFF"/>
            </w:rPr>
            <w:t>5. 柱、墙轴压比简图</w:t>
          </w:r>
          <w:r>
            <w:tab/>
          </w:r>
          <w:r>
            <w:fldChar w:fldCharType="begin"/>
          </w:r>
          <w:r>
            <w:instrText xml:space="preserve"> PAGEREF _Toc8029 \h </w:instrText>
          </w:r>
          <w:r>
            <w:fldChar w:fldCharType="separate"/>
          </w:r>
          <w:r>
            <w:t>79</w:t>
          </w:r>
          <w:r>
            <w:fldChar w:fldCharType="end"/>
          </w:r>
          <w:r>
            <w:fldChar w:fldCharType="end"/>
          </w:r>
        </w:p>
        <w:p>
          <w:pPr>
            <w:pStyle w:val="15"/>
            <w:tabs>
              <w:tab w:val="right" w:leader="dot" w:pos="9072"/>
            </w:tabs>
          </w:pPr>
          <w:r>
            <w:fldChar w:fldCharType="begin"/>
          </w:r>
          <w:r>
            <w:instrText xml:space="preserve"> HYPERLINK \l _Toc7932 </w:instrText>
          </w:r>
          <w:r>
            <w:fldChar w:fldCharType="separate"/>
          </w:r>
          <w:r>
            <w:rPr>
              <w:rFonts w:hint="eastAsia" w:ascii="宋体" w:eastAsia="宋体"/>
              <w:szCs w:val="28"/>
              <w:shd w:val="clear" w:color="auto" w:fill="FFFFFF"/>
            </w:rPr>
            <w:t>6. 柱长细比简图</w:t>
          </w:r>
          <w:r>
            <w:tab/>
          </w:r>
          <w:r>
            <w:fldChar w:fldCharType="begin"/>
          </w:r>
          <w:r>
            <w:instrText xml:space="preserve"> PAGEREF _Toc7932 \h </w:instrText>
          </w:r>
          <w:r>
            <w:fldChar w:fldCharType="separate"/>
          </w:r>
          <w:r>
            <w:t>80</w:t>
          </w:r>
          <w:r>
            <w:fldChar w:fldCharType="end"/>
          </w:r>
          <w:r>
            <w:fldChar w:fldCharType="end"/>
          </w:r>
        </w:p>
        <w:p>
          <w:pPr>
            <w:pStyle w:val="15"/>
            <w:tabs>
              <w:tab w:val="right" w:leader="dot" w:pos="9072"/>
            </w:tabs>
          </w:pPr>
          <w:r>
            <w:fldChar w:fldCharType="begin"/>
          </w:r>
          <w:r>
            <w:instrText xml:space="preserve"> HYPERLINK \l _Toc8747 </w:instrText>
          </w:r>
          <w:r>
            <w:fldChar w:fldCharType="separate"/>
          </w:r>
          <w:r>
            <w:rPr>
              <w:rFonts w:hint="eastAsia" w:ascii="宋体" w:eastAsia="宋体"/>
              <w:szCs w:val="28"/>
              <w:shd w:val="clear" w:color="auto" w:fill="FFFFFF"/>
            </w:rPr>
            <w:t>7. 梁弹性挠度简图</w:t>
          </w:r>
          <w:r>
            <w:tab/>
          </w:r>
          <w:r>
            <w:fldChar w:fldCharType="begin"/>
          </w:r>
          <w:r>
            <w:instrText xml:space="preserve"> PAGEREF _Toc8747 \h </w:instrText>
          </w:r>
          <w:r>
            <w:fldChar w:fldCharType="separate"/>
          </w:r>
          <w:r>
            <w:t>81</w:t>
          </w:r>
          <w:r>
            <w:fldChar w:fldCharType="end"/>
          </w:r>
          <w:r>
            <w:fldChar w:fldCharType="end"/>
          </w:r>
        </w:p>
        <w:p>
          <w:pPr>
            <w:pStyle w:val="15"/>
            <w:tabs>
              <w:tab w:val="right" w:leader="dot" w:pos="9072"/>
            </w:tabs>
          </w:pPr>
          <w:r>
            <w:fldChar w:fldCharType="begin"/>
          </w:r>
          <w:r>
            <w:instrText xml:space="preserve"> HYPERLINK \l _Toc24419 </w:instrText>
          </w:r>
          <w:r>
            <w:fldChar w:fldCharType="separate"/>
          </w:r>
          <w:r>
            <w:rPr>
              <w:rFonts w:hint="eastAsia" w:ascii="宋体" w:eastAsia="宋体"/>
              <w:szCs w:val="28"/>
              <w:shd w:val="clear" w:color="auto" w:fill="FFFFFF"/>
            </w:rPr>
            <w:t>8. 梁内力包络简图</w:t>
          </w:r>
          <w:r>
            <w:tab/>
          </w:r>
          <w:r>
            <w:fldChar w:fldCharType="begin"/>
          </w:r>
          <w:r>
            <w:instrText xml:space="preserve"> PAGEREF _Toc24419 \h </w:instrText>
          </w:r>
          <w:r>
            <w:fldChar w:fldCharType="separate"/>
          </w:r>
          <w:r>
            <w:t>82</w:t>
          </w:r>
          <w:r>
            <w:fldChar w:fldCharType="end"/>
          </w:r>
          <w:r>
            <w:fldChar w:fldCharType="end"/>
          </w:r>
        </w:p>
        <w:p>
          <w:pPr>
            <w:pStyle w:val="15"/>
            <w:tabs>
              <w:tab w:val="right" w:leader="dot" w:pos="9072"/>
            </w:tabs>
          </w:pPr>
          <w:r>
            <w:fldChar w:fldCharType="begin"/>
          </w:r>
          <w:r>
            <w:instrText xml:space="preserve"> HYPERLINK \l _Toc11422 </w:instrText>
          </w:r>
          <w:r>
            <w:fldChar w:fldCharType="separate"/>
          </w:r>
          <w:r>
            <w:rPr>
              <w:rFonts w:hint="eastAsia" w:ascii="宋体" w:eastAsia="宋体"/>
              <w:szCs w:val="28"/>
              <w:shd w:val="clear" w:color="auto" w:fill="FFFFFF"/>
            </w:rPr>
            <w:t>9. 梁配筋包络简图</w:t>
          </w:r>
          <w:r>
            <w:tab/>
          </w:r>
          <w:r>
            <w:fldChar w:fldCharType="begin"/>
          </w:r>
          <w:r>
            <w:instrText xml:space="preserve"> PAGEREF _Toc11422 \h </w:instrText>
          </w:r>
          <w:r>
            <w:fldChar w:fldCharType="separate"/>
          </w:r>
          <w:r>
            <w:t>83</w:t>
          </w:r>
          <w:r>
            <w:fldChar w:fldCharType="end"/>
          </w:r>
          <w:r>
            <w:fldChar w:fldCharType="end"/>
          </w:r>
        </w:p>
        <w:p>
          <w:pPr>
            <w:pStyle w:val="15"/>
            <w:tabs>
              <w:tab w:val="right" w:leader="dot" w:pos="9072"/>
            </w:tabs>
          </w:pPr>
          <w:r>
            <w:fldChar w:fldCharType="begin"/>
          </w:r>
          <w:r>
            <w:instrText xml:space="preserve"> HYPERLINK \l _Toc27318 </w:instrText>
          </w:r>
          <w:r>
            <w:fldChar w:fldCharType="separate"/>
          </w:r>
          <w:r>
            <w:rPr>
              <w:rFonts w:hint="eastAsia" w:ascii="宋体" w:eastAsia="宋体"/>
              <w:szCs w:val="28"/>
              <w:shd w:val="clear" w:color="auto" w:fill="FFFFFF"/>
            </w:rPr>
            <w:t>10. 柱、墙截面控制内力简图</w:t>
          </w:r>
          <w:r>
            <w:tab/>
          </w:r>
          <w:r>
            <w:fldChar w:fldCharType="begin"/>
          </w:r>
          <w:r>
            <w:instrText xml:space="preserve"> PAGEREF _Toc27318 \h </w:instrText>
          </w:r>
          <w:r>
            <w:fldChar w:fldCharType="separate"/>
          </w:r>
          <w:r>
            <w:t>84</w:t>
          </w:r>
          <w:r>
            <w:fldChar w:fldCharType="end"/>
          </w:r>
          <w:r>
            <w:fldChar w:fldCharType="end"/>
          </w:r>
        </w:p>
        <w:p>
          <w:r>
            <w:fldChar w:fldCharType="end"/>
          </w:r>
        </w:p>
      </w:sdtContent>
    </w:sdt>
    <w:p>
      <w:r>
        <w:br w:type="page"/>
      </w:r>
    </w:p>
    <w:p>
      <w:pPr>
        <w:pStyle w:val="16"/>
        <w:jc w:val="left"/>
      </w:pPr>
      <w:bookmarkStart w:id="0" w:name="_Toc17619"/>
      <w:r>
        <w:rPr>
          <w:rFonts w:hint="eastAsia" w:ascii="宋体" w:eastAsia="宋体"/>
          <w:b/>
          <w:color w:val="000000"/>
          <w:sz w:val="32"/>
          <w:szCs w:val="32"/>
          <w:shd w:val="clear" w:color="auto" w:fill="FFFFFF"/>
        </w:rPr>
        <w:t>一. 设计依据信息</w:t>
      </w:r>
      <w:bookmarkEnd w:id="0"/>
    </w:p>
    <w:p>
      <w:pPr>
        <w:jc w:val="left"/>
      </w:pPr>
      <w:r>
        <w:rPr>
          <w:rFonts w:hint="eastAsia" w:ascii="宋体" w:eastAsia="宋体"/>
          <w:b w:val="0"/>
          <w:color w:val="000000"/>
          <w:sz w:val="24"/>
          <w:szCs w:val="24"/>
          <w:shd w:val="clear" w:color="auto" w:fill="FFFFFF"/>
        </w:rPr>
        <w:t>本工程按照如下规范、规程进行设计:</w:t>
      </w:r>
    </w:p>
    <w:p>
      <w:pPr>
        <w:jc w:val="left"/>
      </w:pPr>
      <w:r>
        <w:rPr>
          <w:rFonts w:hint="eastAsia" w:ascii="宋体" w:eastAsia="宋体"/>
          <w:b w:val="0"/>
          <w:color w:val="000000"/>
          <w:sz w:val="24"/>
          <w:szCs w:val="24"/>
          <w:shd w:val="clear" w:color="auto" w:fill="FFFFFF"/>
        </w:rPr>
        <w:t>1. 《混凝土结构设计规范》(GB50010-2010)(2015年版)</w:t>
      </w:r>
    </w:p>
    <w:p>
      <w:pPr>
        <w:jc w:val="left"/>
      </w:pPr>
      <w:r>
        <w:rPr>
          <w:rFonts w:hint="eastAsia" w:ascii="宋体" w:eastAsia="宋体"/>
          <w:b w:val="0"/>
          <w:color w:val="000000"/>
          <w:sz w:val="24"/>
          <w:szCs w:val="24"/>
          <w:shd w:val="clear" w:color="auto" w:fill="FFFFFF"/>
        </w:rPr>
        <w:t>2. 《钢结构设计标准》(GB50017-2017)</w:t>
      </w:r>
    </w:p>
    <w:p>
      <w:pPr>
        <w:jc w:val="left"/>
      </w:pPr>
      <w:r>
        <w:rPr>
          <w:rFonts w:hint="eastAsia" w:ascii="宋体" w:eastAsia="宋体"/>
          <w:b w:val="0"/>
          <w:color w:val="000000"/>
          <w:sz w:val="24"/>
          <w:szCs w:val="24"/>
          <w:shd w:val="clear" w:color="auto" w:fill="FFFFFF"/>
        </w:rPr>
        <w:t>3. 《建筑抗震设计规范》(GB50011-2010)(2016年版)</w:t>
      </w:r>
    </w:p>
    <w:p>
      <w:pPr>
        <w:jc w:val="left"/>
      </w:pPr>
      <w:r>
        <w:rPr>
          <w:rFonts w:hint="eastAsia" w:ascii="宋体" w:eastAsia="宋体"/>
          <w:b w:val="0"/>
          <w:color w:val="000000"/>
          <w:sz w:val="24"/>
          <w:szCs w:val="24"/>
          <w:shd w:val="clear" w:color="auto" w:fill="FFFFFF"/>
        </w:rPr>
        <w:t>4. 《建筑结构荷载规范》(GB50009-2012)</w:t>
      </w:r>
    </w:p>
    <w:p>
      <w:pPr>
        <w:jc w:val="left"/>
      </w:pPr>
      <w:r>
        <w:rPr>
          <w:rFonts w:hint="eastAsia" w:ascii="宋体" w:eastAsia="宋体"/>
          <w:b w:val="0"/>
          <w:color w:val="000000"/>
          <w:sz w:val="24"/>
          <w:szCs w:val="24"/>
          <w:shd w:val="clear" w:color="auto" w:fill="FFFFFF"/>
        </w:rPr>
        <w:t>5. 《人民防空地下室设计规范》(GB50038-2005)</w:t>
      </w:r>
    </w:p>
    <w:p>
      <w:pPr>
        <w:jc w:val="left"/>
      </w:pPr>
      <w:r>
        <w:rPr>
          <w:rFonts w:hint="eastAsia" w:ascii="宋体" w:eastAsia="宋体"/>
          <w:b w:val="0"/>
          <w:color w:val="000000"/>
          <w:sz w:val="24"/>
          <w:szCs w:val="24"/>
          <w:shd w:val="clear" w:color="auto" w:fill="FFFFFF"/>
        </w:rPr>
        <w:t>6. 《高层建筑混凝土结构技术规程》(JGJ3-2010)</w:t>
      </w:r>
    </w:p>
    <w:p>
      <w:pPr>
        <w:jc w:val="left"/>
      </w:pPr>
      <w:r>
        <w:rPr>
          <w:rFonts w:hint="eastAsia" w:ascii="宋体" w:eastAsia="宋体"/>
          <w:b w:val="0"/>
          <w:color w:val="000000"/>
          <w:sz w:val="24"/>
          <w:szCs w:val="24"/>
          <w:shd w:val="clear" w:color="auto" w:fill="FFFFFF"/>
        </w:rPr>
        <w:t>7. 《混凝土异形柱结构技术规程》(JGJ149-2017)</w:t>
      </w:r>
    </w:p>
    <w:p>
      <w:pPr>
        <w:jc w:val="left"/>
      </w:pPr>
      <w:r>
        <w:rPr>
          <w:rFonts w:hint="eastAsia" w:ascii="宋体" w:eastAsia="宋体"/>
          <w:b w:val="0"/>
          <w:color w:val="000000"/>
          <w:sz w:val="24"/>
          <w:szCs w:val="24"/>
          <w:shd w:val="clear" w:color="auto" w:fill="FFFFFF"/>
        </w:rPr>
        <w:t>8. 《钢板剪力墙技术规程》(JGJ/T 380-2015)</w:t>
      </w:r>
    </w:p>
    <w:p>
      <w:pPr>
        <w:jc w:val="left"/>
      </w:pPr>
      <w:r>
        <w:rPr>
          <w:rFonts w:hint="eastAsia" w:ascii="宋体" w:eastAsia="宋体"/>
          <w:b w:val="0"/>
          <w:color w:val="000000"/>
          <w:sz w:val="24"/>
          <w:szCs w:val="24"/>
          <w:shd w:val="clear" w:color="auto" w:fill="FFFFFF"/>
        </w:rPr>
        <w:t>9. 《门式刚架轻型房屋钢结构技术规范》(GB51022-2015)</w:t>
      </w:r>
    </w:p>
    <w:p>
      <w:pPr>
        <w:jc w:val="left"/>
      </w:pPr>
      <w:r>
        <w:rPr>
          <w:rFonts w:hint="eastAsia" w:ascii="宋体" w:eastAsia="宋体"/>
          <w:b w:val="0"/>
          <w:color w:val="000000"/>
          <w:sz w:val="24"/>
          <w:szCs w:val="24"/>
          <w:shd w:val="clear" w:color="auto" w:fill="FFFFFF"/>
        </w:rPr>
        <w:t>10. 《建筑结构可靠性设计统一标准》(GB50068-2018)</w:t>
      </w:r>
    </w:p>
    <w:p>
      <w:pPr>
        <w:jc w:val="left"/>
      </w:pPr>
      <w:r>
        <w:rPr>
          <w:rFonts w:hint="eastAsia" w:ascii="宋体" w:eastAsia="宋体"/>
          <w:b w:val="0"/>
          <w:color w:val="000000"/>
          <w:sz w:val="24"/>
          <w:szCs w:val="24"/>
          <w:shd w:val="clear" w:color="auto" w:fill="FFFFFF"/>
        </w:rPr>
        <w:t>11. 《钢管混凝土结构设计与施工规程》(CECS 28-2012)</w:t>
      </w:r>
    </w:p>
    <w:p>
      <w:pPr>
        <w:jc w:val="left"/>
      </w:pPr>
      <w:r>
        <w:rPr>
          <w:rFonts w:hint="eastAsia" w:ascii="宋体" w:eastAsia="宋体"/>
          <w:b w:val="0"/>
          <w:color w:val="000000"/>
          <w:sz w:val="24"/>
          <w:szCs w:val="24"/>
          <w:shd w:val="clear" w:color="auto" w:fill="FFFFFF"/>
        </w:rPr>
        <w:t>12. 《组合结构设计规范》(JGJ138-2016)</w:t>
      </w:r>
    </w:p>
    <w:p>
      <w:pPr>
        <w:jc w:val="left"/>
      </w:pPr>
      <w:r>
        <w:rPr>
          <w:rFonts w:hint="eastAsia" w:ascii="宋体" w:eastAsia="宋体"/>
          <w:b w:val="0"/>
          <w:color w:val="000000"/>
          <w:sz w:val="24"/>
          <w:szCs w:val="24"/>
          <w:shd w:val="clear" w:color="auto" w:fill="FFFFFF"/>
        </w:rPr>
        <w:t>13. 《高层民用建筑钢结构技术规程》(JGJ99-2015)</w:t>
      </w:r>
    </w:p>
    <w:p>
      <w:pPr>
        <w:jc w:val="left"/>
      </w:pPr>
      <w:r>
        <w:rPr>
          <w:rFonts w:hint="eastAsia" w:ascii="宋体" w:eastAsia="宋体"/>
          <w:b w:val="0"/>
          <w:color w:val="000000"/>
          <w:sz w:val="24"/>
          <w:szCs w:val="24"/>
          <w:shd w:val="clear" w:color="auto" w:fill="FFFFFF"/>
        </w:rPr>
        <w:t>14. 《工程结构通用规范》(GB55001-2021)</w:t>
      </w:r>
    </w:p>
    <w:p>
      <w:pPr>
        <w:jc w:val="left"/>
      </w:pPr>
      <w:r>
        <w:rPr>
          <w:rFonts w:hint="eastAsia" w:ascii="宋体" w:eastAsia="宋体"/>
          <w:b w:val="0"/>
          <w:color w:val="000000"/>
          <w:sz w:val="24"/>
          <w:szCs w:val="24"/>
          <w:shd w:val="clear" w:color="auto" w:fill="FFFFFF"/>
        </w:rPr>
        <w:t>15. 《建筑与市政工程抗震通用规范》(GB55002-2021)</w:t>
      </w:r>
    </w:p>
    <w:p>
      <w:pPr>
        <w:jc w:val="left"/>
      </w:pPr>
      <w:r>
        <w:rPr>
          <w:rFonts w:hint="eastAsia" w:ascii="宋体" w:eastAsia="宋体"/>
          <w:b w:val="0"/>
          <w:color w:val="000000"/>
          <w:sz w:val="24"/>
          <w:szCs w:val="24"/>
          <w:shd w:val="clear" w:color="auto" w:fill="FFFFFF"/>
        </w:rPr>
        <w:t>16. 《钢结构通用规范》(GB55006-2021)</w:t>
      </w:r>
    </w:p>
    <w:p>
      <w:pPr>
        <w:jc w:val="left"/>
      </w:pPr>
      <w:r>
        <w:rPr>
          <w:rFonts w:hint="eastAsia" w:ascii="宋体" w:eastAsia="宋体"/>
          <w:b w:val="0"/>
          <w:color w:val="000000"/>
          <w:sz w:val="24"/>
          <w:szCs w:val="24"/>
          <w:shd w:val="clear" w:color="auto" w:fill="FFFFFF"/>
        </w:rPr>
        <w:t>17. 《混凝土结构通用规范》(GB55008-2021)</w:t>
      </w:r>
    </w:p>
    <w:p>
      <w:pPr>
        <w:jc w:val="left"/>
      </w:pPr>
    </w:p>
    <w:p>
      <w:pPr>
        <w:pStyle w:val="16"/>
        <w:jc w:val="center"/>
      </w:pPr>
      <w:bookmarkStart w:id="1" w:name="_Toc4525"/>
      <w:r>
        <w:rPr>
          <w:rFonts w:hint="eastAsia" w:ascii="宋体" w:eastAsia="宋体"/>
          <w:b/>
          <w:color w:val="000000"/>
          <w:sz w:val="32"/>
          <w:szCs w:val="32"/>
          <w:shd w:val="clear" w:color="auto" w:fill="FFFFFF"/>
        </w:rPr>
        <w:t>二. 计算软件信息</w:t>
      </w:r>
      <w:bookmarkEnd w:id="1"/>
    </w:p>
    <w:p>
      <w:pPr>
        <w:jc w:val="left"/>
      </w:pPr>
      <w:r>
        <w:rPr>
          <w:rFonts w:hint="eastAsia" w:ascii="宋体" w:eastAsia="宋体"/>
          <w:b w:val="0"/>
          <w:color w:val="000000"/>
          <w:sz w:val="24"/>
          <w:szCs w:val="24"/>
          <w:shd w:val="clear" w:color="auto" w:fill="FFFFFF"/>
        </w:rPr>
        <w:t>本工程计算软件为中国建筑科学研究院北京构力科技有限公司的SATWE2021 V1.5.1版。</w:t>
      </w:r>
    </w:p>
    <w:p>
      <w:pPr>
        <w:jc w:val="left"/>
      </w:pPr>
      <w:r>
        <w:rPr>
          <w:rFonts w:hint="eastAsia" w:ascii="宋体" w:eastAsia="宋体"/>
          <w:b w:val="0"/>
          <w:color w:val="000000"/>
          <w:sz w:val="24"/>
          <w:szCs w:val="24"/>
          <w:shd w:val="clear" w:color="auto" w:fill="FFFFFF"/>
        </w:rPr>
        <w:t>计算日期为2023年7月25日15时44分40秒。</w:t>
      </w:r>
    </w:p>
    <w:p>
      <w:pPr>
        <w:jc w:val="left"/>
      </w:pPr>
    </w:p>
    <w:p>
      <w:pPr>
        <w:pStyle w:val="16"/>
        <w:jc w:val="left"/>
      </w:pPr>
      <w:bookmarkStart w:id="2" w:name="_Toc24208"/>
      <w:r>
        <w:rPr>
          <w:rFonts w:hint="eastAsia" w:ascii="宋体" w:eastAsia="宋体"/>
          <w:b/>
          <w:color w:val="000000"/>
          <w:sz w:val="32"/>
          <w:szCs w:val="32"/>
          <w:shd w:val="clear" w:color="auto" w:fill="FFFFFF"/>
        </w:rPr>
        <w:t>三. 项目基本信息</w:t>
      </w:r>
      <w:bookmarkEnd w:id="2"/>
    </w:p>
    <w:p>
      <w:pPr>
        <w:spacing w:beforeLines="113" w:afterLines="113" w:line="113" w:lineRule="auto"/>
        <w:jc w:val="center"/>
      </w:pPr>
      <w:r>
        <w:rPr>
          <w:rFonts w:hint="eastAsia" w:ascii="黑体" w:eastAsia="黑体"/>
          <w:b/>
          <w:color w:val="000000"/>
          <w:sz w:val="26"/>
          <w:szCs w:val="26"/>
          <w:shd w:val="clear" w:color="auto" w:fill="FFFFFF"/>
        </w:rPr>
        <w:t>表3-1 项目基本信息表</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721"/>
        <w:gridCol w:w="1814"/>
        <w:gridCol w:w="1814"/>
        <w:gridCol w:w="907"/>
        <w:gridCol w:w="181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721"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2721"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建设地点</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建筑功能</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建筑面积（m^2）</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设计工作年限</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结构高度（m）</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6.900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嵌固端层号(层底嵌固)</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地上/地下层数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结构体系</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框架结构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地面粗糙度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B</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基本风压（kN/m^2）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0.65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抗震设防类别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丙类</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地震分组</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第一组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地震设防烈度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7（0.1g）</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场地类别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III类</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场地特征周期（s）</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0.45</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最大地震影响系数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0.0800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结构阻尼比（%）</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5.00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抗震等级</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框架</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  三级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结构重要性系数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底部加强区层号</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约束边缘构件范围</w:t>
            </w:r>
          </w:p>
        </w:tc>
        <w:tc>
          <w:tcPr>
            <w:tcW w:w="6350" w:type="dxa"/>
            <w:gridSpan w:val="4"/>
            <w:shd w:val="clear" w:color="auto" w:fill="FFFFFF"/>
            <w:vAlign w:val="center"/>
          </w:tcPr>
          <w:p>
            <w:pPr>
              <w:jc w:val="center"/>
            </w:pPr>
            <w:r>
              <w:rPr>
                <w:rFonts w:hint="eastAsia" w:ascii="宋体" w:eastAsia="宋体"/>
                <w:b w:val="0"/>
                <w:color w:val="000000"/>
                <w:sz w:val="24"/>
                <w:szCs w:val="24"/>
                <w:shd w:val="clear" w:color="auto" w:fill="FFFFFF"/>
              </w:rPr>
              <w:t>1</w:t>
            </w:r>
          </w:p>
        </w:tc>
      </w:tr>
    </w:tbl>
    <w:p>
      <w:pPr>
        <w:spacing w:beforeLines="113" w:afterLines="113" w:line="113" w:lineRule="auto"/>
        <w:jc w:val="left"/>
      </w:pPr>
    </w:p>
    <w:p>
      <w:pPr>
        <w:pStyle w:val="16"/>
        <w:jc w:val="left"/>
      </w:pPr>
      <w:bookmarkStart w:id="3" w:name="_Toc29639"/>
      <w:r>
        <w:rPr>
          <w:rFonts w:hint="eastAsia" w:ascii="宋体" w:eastAsia="宋体"/>
          <w:b/>
          <w:color w:val="000000"/>
          <w:sz w:val="32"/>
          <w:szCs w:val="32"/>
          <w:shd w:val="clear" w:color="auto" w:fill="FFFFFF"/>
        </w:rPr>
        <w:t>四. 指标汇总信息</w:t>
      </w:r>
      <w:bookmarkEnd w:id="3"/>
    </w:p>
    <w:p>
      <w:pPr>
        <w:spacing w:beforeLines="113" w:afterLines="113" w:line="113" w:lineRule="auto"/>
        <w:jc w:val="center"/>
      </w:pPr>
      <w:r>
        <w:rPr>
          <w:rFonts w:hint="eastAsia" w:ascii="黑体" w:eastAsia="黑体"/>
          <w:b/>
          <w:color w:val="000000"/>
          <w:sz w:val="26"/>
          <w:szCs w:val="26"/>
          <w:shd w:val="clear" w:color="auto" w:fill="FFFFFF"/>
        </w:rPr>
        <w:t>表4-1 指标汇总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13"/>
        <w:gridCol w:w="1098"/>
        <w:gridCol w:w="1112"/>
        <w:gridCol w:w="1110"/>
        <w:gridCol w:w="1296"/>
        <w:gridCol w:w="1123"/>
        <w:gridCol w:w="1110"/>
        <w:gridCol w:w="11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402" w:type="dxa"/>
            <w:gridSpan w:val="3"/>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计算结果</w:t>
            </w:r>
          </w:p>
        </w:tc>
        <w:tc>
          <w:tcPr>
            <w:tcW w:w="2268"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规范(规程)限值</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判别</w:t>
            </w:r>
          </w:p>
        </w:tc>
        <w:tc>
          <w:tcPr>
            <w:tcW w:w="113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备注</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shd w:val="clear" w:color="auto" w:fill="FFFFFF"/>
            <w:vAlign w:val="center"/>
          </w:tcPr>
          <w:p>
            <w:pPr>
              <w:jc w:val="center"/>
            </w:pPr>
            <w:r>
              <w:rPr>
                <w:rFonts w:hint="eastAsia" w:ascii="宋体" w:eastAsia="宋体"/>
                <w:b w:val="0"/>
                <w:color w:val="000000"/>
                <w:sz w:val="24"/>
                <w:szCs w:val="24"/>
                <w:shd w:val="clear" w:color="auto" w:fill="FFFFFF"/>
              </w:rPr>
              <w:t>结构总质量(t)</w:t>
            </w:r>
          </w:p>
        </w:tc>
        <w:tc>
          <w:tcPr>
            <w:tcW w:w="2268" w:type="dxa"/>
            <w:gridSpan w:val="2"/>
            <w:shd w:val="clear" w:color="auto" w:fill="FFFFFF"/>
            <w:vAlign w:val="center"/>
          </w:tcPr>
          <w:p>
            <w:pPr>
              <w:jc w:val="center"/>
            </w:pPr>
            <w:r>
              <w:rPr>
                <w:rFonts w:hint="eastAsia" w:ascii="宋体" w:eastAsia="宋体"/>
                <w:b w:val="0"/>
                <w:color w:val="000000"/>
                <w:sz w:val="24"/>
                <w:szCs w:val="24"/>
                <w:shd w:val="clear" w:color="auto" w:fill="FFFFFF"/>
              </w:rPr>
              <w:t>256.09</w:t>
            </w:r>
          </w:p>
        </w:tc>
        <w:tc>
          <w:tcPr>
            <w:tcW w:w="1134" w:type="dxa"/>
            <w:shd w:val="clear" w:color="auto" w:fill="FFFFFF"/>
            <w:vAlign w:val="center"/>
          </w:tcPr>
          <w:p>
            <w:pPr>
              <w:jc w:val="center"/>
            </w:pPr>
          </w:p>
        </w:tc>
        <w:tc>
          <w:tcPr>
            <w:tcW w:w="1134" w:type="dxa"/>
            <w:shd w:val="clear" w:color="auto" w:fill="FFFFFF"/>
            <w:vAlign w:val="center"/>
          </w:tcPr>
          <w:p>
            <w:pPr>
              <w:jc w:val="center"/>
            </w:pPr>
          </w:p>
        </w:tc>
        <w:tc>
          <w:tcPr>
            <w:tcW w:w="113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shd w:val="clear" w:color="auto" w:fill="FFFFFF"/>
            <w:vAlign w:val="center"/>
          </w:tcPr>
          <w:p>
            <w:pPr>
              <w:jc w:val="center"/>
            </w:pPr>
            <w:r>
              <w:rPr>
                <w:rFonts w:hint="eastAsia" w:ascii="宋体" w:eastAsia="宋体"/>
                <w:b w:val="0"/>
                <w:color w:val="000000"/>
                <w:sz w:val="24"/>
                <w:szCs w:val="24"/>
                <w:shd w:val="clear" w:color="auto" w:fill="FFFFFF"/>
              </w:rPr>
              <w:t>质量比</w:t>
            </w:r>
          </w:p>
        </w:tc>
        <w:tc>
          <w:tcPr>
            <w:tcW w:w="2268" w:type="dxa"/>
            <w:gridSpan w:val="2"/>
            <w:shd w:val="clear" w:color="auto" w:fill="FFFFFF"/>
            <w:vAlign w:val="center"/>
          </w:tcPr>
          <w:p>
            <w:pPr>
              <w:jc w:val="center"/>
            </w:pPr>
            <w:r>
              <w:rPr>
                <w:rFonts w:hint="eastAsia" w:ascii="宋体" w:eastAsia="宋体"/>
                <w:b w:val="0"/>
                <w:color w:val="000000"/>
                <w:sz w:val="24"/>
                <w:szCs w:val="24"/>
                <w:shd w:val="clear" w:color="auto" w:fill="FFFFFF"/>
              </w:rPr>
              <w:t xml:space="preserve">1.00 </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楼层剪力/层间位移刚度比</w:t>
            </w:r>
          </w:p>
        </w:tc>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与相邻上一层侧向刚度的0.7倍或相邻上三层平均值的0.8的比值</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shd w:val="clear" w:color="auto" w:fill="FFFFFF"/>
          </w:tcPr>
          <w:p>
            <w:pPr>
              <w:jc w:val="left"/>
            </w:pPr>
          </w:p>
        </w:tc>
        <w:tc>
          <w:tcPr>
            <w:tcW w:w="2268" w:type="dxa"/>
            <w:gridSpan w:val="2"/>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shd w:val="clear" w:color="auto" w:fill="FFFFFF"/>
            <w:vAlign w:val="center"/>
          </w:tcPr>
          <w:p>
            <w:pPr>
              <w:jc w:val="center"/>
            </w:pPr>
          </w:p>
        </w:tc>
        <w:tc>
          <w:tcPr>
            <w:tcW w:w="2268" w:type="dxa"/>
            <w:gridSpan w:val="2"/>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shd w:val="clear" w:color="auto" w:fill="FFFFFF"/>
          </w:tcPr>
          <w:p>
            <w:pPr>
              <w:jc w:val="left"/>
            </w:pPr>
          </w:p>
        </w:tc>
        <w:tc>
          <w:tcPr>
            <w:tcW w:w="2268" w:type="dxa"/>
            <w:gridSpan w:val="2"/>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楼层抗剪承载力与相邻上一层比值的最小值</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 xml:space="preserve">&gt;= 0.80 </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结构自振周期(s)</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0.6161(Y)</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T3/T1 &lt;= 0.90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T2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0.5277(X)</w:t>
            </w: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T3</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0.4580(T)</w:t>
            </w: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有效质量系数</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100.00%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100.00%</w:t>
            </w:r>
          </w:p>
        </w:tc>
        <w:tc>
          <w:tcPr>
            <w:tcW w:w="1134" w:type="dxa"/>
            <w:vMerge w:val="continue"/>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地震底部剪重比</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调整前</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 xml:space="preserve">7.46% </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&gt;= 1.60%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8.00%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&gt;= 1.60%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水平力作用下的楼层层间最大位移与层高之比(Δu/h)</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地震</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1/1093</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1/978</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风荷载</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1/960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1/1965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地震力作用下(偶然偏心)塔楼扭转参数</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最大位移/平均位移</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1.28</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1.02</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最大层间位移/层间平均位移</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1.28</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1.02</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结构刚重比</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79.24</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不考虑重力二阶效应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 xml:space="preserve">59.11 </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continue"/>
            <w:shd w:val="clear" w:color="auto" w:fill="FFFFFF"/>
            <w:vAlign w:val="center"/>
          </w:tcPr>
          <w:p>
            <w:pPr>
              <w:jc w:val="center"/>
            </w:pPr>
          </w:p>
        </w:tc>
      </w:tr>
    </w:tbl>
    <w:p>
      <w:pPr>
        <w:spacing w:beforeLines="113" w:afterLines="113" w:line="113" w:lineRule="auto"/>
        <w:jc w:val="left"/>
      </w:pPr>
    </w:p>
    <w:p>
      <w:pPr>
        <w:pStyle w:val="16"/>
        <w:jc w:val="left"/>
      </w:pPr>
      <w:bookmarkStart w:id="4" w:name="_Toc15854"/>
      <w:r>
        <w:rPr>
          <w:rFonts w:hint="eastAsia" w:ascii="宋体" w:eastAsia="宋体"/>
          <w:b/>
          <w:color w:val="000000"/>
          <w:sz w:val="32"/>
          <w:szCs w:val="32"/>
          <w:shd w:val="clear" w:color="auto" w:fill="FFFFFF"/>
        </w:rPr>
        <w:t>五. 超筋超限信息汇总</w:t>
      </w:r>
      <w:bookmarkEnd w:id="4"/>
    </w:p>
    <w:p>
      <w:pPr>
        <w:spacing w:beforeLines="113" w:afterLines="113" w:line="113" w:lineRule="auto"/>
        <w:jc w:val="left"/>
      </w:pPr>
      <w:r>
        <w:rPr>
          <w:rFonts w:hint="eastAsia" w:ascii="宋体" w:eastAsia="宋体"/>
          <w:b w:val="0"/>
          <w:color w:val="000000"/>
          <w:sz w:val="24"/>
          <w:szCs w:val="24"/>
          <w:shd w:val="clear" w:color="auto" w:fill="FFFFFF"/>
        </w:rPr>
        <w:t>本模型中暂无超筋超限信息</w:t>
      </w:r>
    </w:p>
    <w:p>
      <w:pPr>
        <w:spacing w:beforeLines="113" w:afterLines="113" w:line="113" w:lineRule="auto"/>
        <w:jc w:val="left"/>
      </w:pPr>
    </w:p>
    <w:p>
      <w:pPr>
        <w:pStyle w:val="16"/>
        <w:jc w:val="center"/>
      </w:pPr>
      <w:bookmarkStart w:id="5" w:name="_Toc2496"/>
      <w:r>
        <w:rPr>
          <w:rFonts w:hint="eastAsia" w:ascii="宋体" w:eastAsia="宋体"/>
          <w:b/>
          <w:color w:val="000000"/>
          <w:sz w:val="32"/>
          <w:szCs w:val="32"/>
          <w:shd w:val="clear" w:color="auto" w:fill="FFFFFF"/>
        </w:rPr>
        <w:t>六. 结构模型概况</w:t>
      </w:r>
      <w:bookmarkEnd w:id="5"/>
    </w:p>
    <w:p>
      <w:pPr>
        <w:pStyle w:val="3"/>
        <w:jc w:val="left"/>
      </w:pPr>
      <w:bookmarkStart w:id="6" w:name="_Toc4201"/>
      <w:r>
        <w:rPr>
          <w:rFonts w:hint="eastAsia" w:ascii="宋体" w:eastAsia="宋体"/>
          <w:b/>
          <w:color w:val="000000"/>
          <w:sz w:val="28"/>
          <w:szCs w:val="28"/>
          <w:shd w:val="clear" w:color="auto" w:fill="FFFFFF"/>
        </w:rPr>
        <w:t>1. 系统总信息</w:t>
      </w:r>
      <w:bookmarkEnd w:id="6"/>
    </w:p>
    <w:p>
      <w:pPr>
        <w:spacing w:beforeLines="113" w:afterLines="113" w:line="113" w:lineRule="auto"/>
        <w:jc w:val="left"/>
      </w:pPr>
      <w:r>
        <w:rPr>
          <w:rFonts w:hint="eastAsia" w:ascii="宋体" w:eastAsia="宋体"/>
          <w:b/>
          <w:color w:val="000000"/>
          <w:sz w:val="24"/>
          <w:szCs w:val="24"/>
          <w:shd w:val="clear" w:color="auto" w:fill="FFFFFF"/>
        </w:rPr>
        <w:t>(一)总信息:</w:t>
      </w:r>
    </w:p>
    <w:tbl>
      <w:tblPr>
        <w:tblStyle w:val="42"/>
        <w:tblW w:w="9072" w:type="dxa"/>
        <w:jc w:val="center"/>
        <w:tblLayout w:type="autofit"/>
        <w:tblCellMar>
          <w:top w:w="0" w:type="dxa"/>
          <w:left w:w="108" w:type="dxa"/>
          <w:bottom w:w="0" w:type="dxa"/>
          <w:right w:w="108" w:type="dxa"/>
        </w:tblCellMar>
      </w:tblPr>
      <w:tblGrid>
        <w:gridCol w:w="4536"/>
        <w:gridCol w:w="4536"/>
      </w:tblGrid>
      <w:tr>
        <w:trPr>
          <w:jc w:val="center"/>
        </w:trPr>
        <w:tc>
          <w:tcPr>
            <w:tcW w:w="4536" w:type="dxa"/>
            <w:shd w:val="clear" w:color="auto" w:fill="FFFFFF"/>
            <w:vAlign w:val="bottom"/>
          </w:tcPr>
          <w:p>
            <w:pPr>
              <w:jc w:val="left"/>
            </w:pPr>
            <w:bookmarkStart w:id="7" w:name="总信息"/>
            <w:bookmarkEnd w:id="7"/>
            <w:r>
              <w:rPr>
                <w:rFonts w:hint="eastAsia" w:ascii="宋体" w:eastAsia="宋体"/>
                <w:b w:val="0"/>
                <w:color w:val="000000"/>
                <w:sz w:val="24"/>
                <w:szCs w:val="24"/>
                <w:shd w:val="clear" w:color="auto" w:fill="FFFFFF"/>
              </w:rPr>
              <w:t>水平力与整体坐标夹角（度）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混凝土容重（kN/m3）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钢材容重（kN/m3）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78.00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裙房层数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转换层所在层号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嵌固端所在层号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地上部分层数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墙元细分最大控制长度（m）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弹性板细分最大控制长度（m）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转换层指定为薄弱层</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墙梁跨中节点作为刚性楼板从节点</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考虑梁板顶面对齐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构件偏心方式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传统移动节点方式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结构材料信息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钢筋混凝土结构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结构体系</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恒活荷载计算信息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模拟施工加载 3</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风荷载计算信息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计算水平风荷载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地震作用计算信息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计算水平地震作用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通用规范（2021版）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结构所在地区</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全国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规定水平力的确定方式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楼层剪力差方法（规范方法）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高位转换结构等效侧向刚度比计算</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传统方法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墙倾覆力矩计算方法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考虑墙的所有内力贡献</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墙梁转杆单元，当跨高比&gt;=</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框架梁转壳元，当跨高比&lt;</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梁墙扣除与柱重叠部分质量和重量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楼板扣除与梁墙重叠部分质量和重量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自动计算现浇楼板自重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弹性板按有限元方式进行面外设计</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全楼强制刚性楼板假定</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不采用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整体计算考虑楼梯刚度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(二)风荷载信息: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8" w:name="风荷载信息"/>
            <w:bookmarkEnd w:id="8"/>
            <w:r>
              <w:rPr>
                <w:rFonts w:hint="eastAsia" w:ascii="宋体" w:eastAsia="宋体"/>
                <w:b w:val="0"/>
                <w:color w:val="000000"/>
                <w:sz w:val="24"/>
                <w:szCs w:val="24"/>
                <w:shd w:val="clear" w:color="auto" w:fill="FFFFFF"/>
              </w:rPr>
              <w:t>地面粗糙度类别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B</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修正后的基本风压（kN/m2）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X向结构基本周期（秒）</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0.53</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Y向结构基本周期（秒）</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0.62</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风荷载作用下结构的阻尼比（%）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承载力设计时风荷载效应放大系数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保留分析模型上自定义的风荷载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考虑顺风向风振影响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考虑横风向风振影响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考虑扭转风振影响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横风向或扭转风振校核</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用于舒适度验算的风压（kN/m2）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用于舒适度验算的结构阻尼比（%）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水平风体型系数：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体型分段数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r>
    </w:tbl>
    <w:p/>
    <w:tbl>
      <w:tblPr>
        <w:tblStyle w:val="42"/>
        <w:tblW w:w="9072" w:type="dxa"/>
        <w:jc w:val="center"/>
        <w:tblLayout w:type="autofit"/>
        <w:tblCellMar>
          <w:top w:w="0" w:type="dxa"/>
          <w:left w:w="108" w:type="dxa"/>
          <w:bottom w:w="0" w:type="dxa"/>
          <w:right w:w="108" w:type="dxa"/>
        </w:tblCellMar>
      </w:tblPr>
      <w:tblGrid>
        <w:gridCol w:w="1848"/>
        <w:gridCol w:w="1444"/>
        <w:gridCol w:w="1445"/>
        <w:gridCol w:w="1445"/>
        <w:gridCol w:w="1445"/>
        <w:gridCol w:w="1445"/>
      </w:tblGrid>
      <w:tr>
        <w:tblPrEx>
          <w:tblCellMar>
            <w:top w:w="0" w:type="dxa"/>
            <w:left w:w="108" w:type="dxa"/>
            <w:bottom w:w="0" w:type="dxa"/>
            <w:right w:w="108" w:type="dxa"/>
          </w:tblCellMar>
        </w:tblPrEx>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分段数</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最高层号</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X向体型系数</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Y向体型系数</w:t>
            </w:r>
          </w:p>
        </w:tc>
        <w:tc>
          <w:tcPr>
            <w:tcW w:w="1417" w:type="dxa"/>
            <w:shd w:val="clear" w:color="auto" w:fill="FFFFFF"/>
          </w:tcPr>
          <w:p>
            <w:pPr>
              <w:jc w:val="left"/>
            </w:pPr>
          </w:p>
        </w:tc>
        <w:tc>
          <w:tcPr>
            <w:tcW w:w="1417" w:type="dxa"/>
            <w:shd w:val="clear" w:color="auto" w:fill="FFFFFF"/>
          </w:tcPr>
          <w:p>
            <w:pPr>
              <w:jc w:val="left"/>
            </w:pPr>
          </w:p>
        </w:tc>
      </w:tr>
      <w:tr>
        <w:tblPrEx>
          <w:tblCellMar>
            <w:top w:w="0" w:type="dxa"/>
            <w:left w:w="108" w:type="dxa"/>
            <w:bottom w:w="0" w:type="dxa"/>
            <w:right w:w="108" w:type="dxa"/>
          </w:tblCellMar>
        </w:tblPrEx>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1.30</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1.30</w:t>
            </w:r>
          </w:p>
        </w:tc>
        <w:tc>
          <w:tcPr>
            <w:tcW w:w="1417" w:type="dxa"/>
            <w:shd w:val="clear" w:color="auto" w:fill="FFFFFF"/>
          </w:tcPr>
          <w:p>
            <w:pPr>
              <w:jc w:val="left"/>
            </w:pPr>
          </w:p>
        </w:tc>
        <w:tc>
          <w:tcPr>
            <w:tcW w:w="1417" w:type="dxa"/>
            <w:shd w:val="clear" w:color="auto" w:fill="FFFFFF"/>
          </w:tcPr>
          <w:p>
            <w:pPr>
              <w:jc w:val="left"/>
            </w:pPr>
          </w:p>
        </w:tc>
      </w:tr>
    </w:tbl>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设缝多塔背风面体型系数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(三)地震信息: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9" w:name="地震信息"/>
            <w:bookmarkEnd w:id="9"/>
            <w:r>
              <w:rPr>
                <w:rFonts w:hint="eastAsia" w:ascii="宋体" w:eastAsia="宋体"/>
                <w:b w:val="0"/>
                <w:color w:val="000000"/>
                <w:sz w:val="24"/>
                <w:szCs w:val="24"/>
                <w:shd w:val="clear" w:color="auto" w:fill="FFFFFF"/>
              </w:rPr>
              <w:t>建筑抗震设防类别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丙类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设防地震分组</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第一组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设防烈度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7（0.1g）</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场地类别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III类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特征周期（秒）</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0.45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周期折减系数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计算地震位移时是否考虑周期折减系数对地震作用的影响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水平地震影响系数最大值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用于12层以下规则砼框架结构薄弱层验算的地震影响系数最大值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是否采用自定义地震影响系数曲线</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结构阻尼比选取方法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全楼统一</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结构的阻尼比（%）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特征值分析参数：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分析类型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子空间迭代法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计算振型个数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砼框架抗震等级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钢框架抗震等级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抗震构造措施的抗震等级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不改变</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悬挑梁默认取框梁抗震等级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降低嵌固端以下抗震构造措施的抗震等级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部分框支剪力墙结构底部加强区剪力墙抗震等级自动提高一级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按主振型确定地震内力符号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程序自动考虑最不利水平地震作用</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工业设备反应谱法与规范简化方法的底部剪力最小比例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考虑双向地震作用</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考虑偶然偏心的方式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相对于边长的偶然偏心</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X向相对偶然偏心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Y向相对偶然偏心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斜交抗侧力构件方向附加地震数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同时考虑相应角度的风荷载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(四)隔震信息: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0" w:name="隔震信息"/>
            <w:bookmarkEnd w:id="10"/>
            <w:r>
              <w:rPr>
                <w:rFonts w:hint="eastAsia" w:ascii="宋体" w:eastAsia="宋体"/>
                <w:b w:val="0"/>
                <w:color w:val="000000"/>
                <w:sz w:val="24"/>
                <w:szCs w:val="24"/>
                <w:shd w:val="clear" w:color="auto" w:fill="FFFFFF"/>
              </w:rPr>
              <w:t>指定的隔震层个数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阻尼比确定方法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强制解耦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最大附加阻尼比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迭代确定等效刚度和等效阻尼比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(五)活荷信息: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1" w:name="活荷信息"/>
            <w:bookmarkEnd w:id="11"/>
            <w:r>
              <w:rPr>
                <w:rFonts w:hint="eastAsia" w:ascii="宋体" w:eastAsia="宋体"/>
                <w:b w:val="0"/>
                <w:color w:val="000000"/>
                <w:sz w:val="24"/>
                <w:szCs w:val="24"/>
                <w:shd w:val="clear" w:color="auto" w:fill="FFFFFF"/>
              </w:rPr>
              <w:t>楼面活荷载折减方式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传统方式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柱、墙设计时活荷载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传给基础的活荷载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柱、墙、基础活荷载折减系数：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计算截面以上层数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折减系数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4-5</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6-8</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9-20</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20层以上</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梁楼面活荷载折减设置</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梁活荷不利布置的最高层号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考虑结构使用年限的活荷载调整系数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墙、柱设计时消防车荷载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梁设计时消防车荷载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(六)二阶效应:</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2" w:name="二阶效应"/>
            <w:bookmarkEnd w:id="12"/>
            <w:r>
              <w:rPr>
                <w:rFonts w:hint="eastAsia" w:ascii="宋体" w:eastAsia="宋体"/>
                <w:b w:val="0"/>
                <w:color w:val="000000"/>
                <w:sz w:val="24"/>
                <w:szCs w:val="24"/>
                <w:shd w:val="clear" w:color="auto" w:fill="FFFFFF"/>
              </w:rPr>
              <w:t>结构内力分析方法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一阶弹性设计方法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二阶效应计算方法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柱长度系数置1.0</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考虑柱、支撑侧向失稳</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考虑结构整体缺陷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考虑结构构件缺陷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(七)调整信息: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3" w:name="调整信息"/>
            <w:bookmarkEnd w:id="13"/>
            <w:r>
              <w:rPr>
                <w:rFonts w:hint="eastAsia" w:ascii="宋体" w:eastAsia="宋体"/>
                <w:b w:val="0"/>
                <w:color w:val="000000"/>
                <w:sz w:val="24"/>
                <w:szCs w:val="24"/>
                <w:shd w:val="clear" w:color="auto" w:fill="FFFFFF"/>
              </w:rPr>
              <w:t>梁刚度放大系数按2010规范取值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中梁刚度放大系数上限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边梁刚度放大系数上限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梁刚度放大系数按主梁计算</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地震作用下连梁刚度折减系数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采用SAUSAGE-Design计算的连梁刚度折减系数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计算地震位移时是否单独指定连梁刚度折减系数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风荷载作用下的连梁刚度折减系数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梁柱重叠部分简化为刚域：</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柱端简化为刚域</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梁端简化为刚域</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托墙梁刚度放大系数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钢管束剪力墙计算模型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按合并强肢模型计算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钢管束墙混凝土刚度折减系数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剪重比调整</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扭转效应是否明显</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弱轴方向动位移比例（0-1）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强轴方向动位移比例（0-1）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薄弱层调整：</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按刚度比判断薄弱层的方式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按抗规和高规从严判断</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受剪承载力突变形成的薄弱层自动进行调整</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指定的薄弱层个数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1.25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地震作用调整：</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全楼地震作用放大系数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调整与框支柱相连的梁的内力</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框支柱调整系数上限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考虑双向地震时内力调整方式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先考虑双向地震再调整</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0.2V0分段调整方法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alpha</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0.20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beta</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调整分段数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梁端负弯矩调幅系数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梁端弯矩调幅方法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通过主次梁支座进行调幅</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梁活荷载内力放大系数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梁扭矩折减系数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转换结构构件（三、四级）的水平地震作用效应放大系数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(八)设计信息:</w:t>
      </w:r>
    </w:p>
    <w:tbl>
      <w:tblPr>
        <w:tblStyle w:val="42"/>
        <w:tblW w:w="9072" w:type="dxa"/>
        <w:jc w:val="center"/>
        <w:tblLayout w:type="autofit"/>
        <w:tblCellMar>
          <w:top w:w="0" w:type="dxa"/>
          <w:left w:w="108" w:type="dxa"/>
          <w:bottom w:w="0" w:type="dxa"/>
          <w:right w:w="108" w:type="dxa"/>
        </w:tblCellMar>
      </w:tblPr>
      <w:tblGrid>
        <w:gridCol w:w="4536"/>
        <w:gridCol w:w="4536"/>
      </w:tblGrid>
      <w:tr>
        <w:trPr>
          <w:jc w:val="center"/>
        </w:trPr>
        <w:tc>
          <w:tcPr>
            <w:tcW w:w="4536" w:type="dxa"/>
            <w:shd w:val="clear" w:color="auto" w:fill="FFFFFF"/>
            <w:vAlign w:val="bottom"/>
          </w:tcPr>
          <w:p>
            <w:pPr>
              <w:jc w:val="left"/>
            </w:pPr>
            <w:bookmarkStart w:id="14" w:name="设计信息"/>
            <w:bookmarkEnd w:id="14"/>
            <w:r>
              <w:rPr>
                <w:rFonts w:hint="eastAsia" w:ascii="宋体" w:eastAsia="宋体"/>
                <w:b w:val="0"/>
                <w:color w:val="000000"/>
                <w:sz w:val="24"/>
                <w:szCs w:val="24"/>
                <w:shd w:val="clear" w:color="auto" w:fill="FFFFFF"/>
              </w:rPr>
              <w:t>结构重要性系数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交叉斜筋箍筋与对角斜筋强度比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梁按压弯计算的最小轴压比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梁按拉弯计算的最小轴拉比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框架梁端配筋考虑受压钢筋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结构中的框架部分轴压比限值按照纯框架结构的规定采用</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按排架柱考虑柱二阶效应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柱配筋计算原则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按单偏压计算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柱双偏压配筋方式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普通方式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柱剪跨比计算原则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简化方式（H/2h0）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H取柱净高Hn</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框架梁弯矩按简支梁控制</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主梁、次梁均执行此条</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主梁进行简支梁控制的处理方法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分段计算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保留用户自定义的边缘构件信息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剪力墙边缘构件的类型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SATWE列出的所有类型</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构造边缘构件尺寸</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按《高规》7.2.16条处理</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构造边缘构件竖向配筋最小值提高0.001Ac</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轴压比小于《抗规》6.4.5条限制时设置为构造边缘构件</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自动生成梁、墙相交处暗柱</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梁实配钢筋超配系数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柱实配钢筋超配系数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墙实配钢筋超配系数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执行《建筑结构可靠性设计统一标准》</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重力荷载分项系数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1.30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刚重比计算的永久荷载分项系数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刚重比计算的可变荷载分项系数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型钢混凝土构件设计执行规范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异形柱设计执行规范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混凝土异形柱结构技术规程(JGJ149-2017)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执行《装配式剪力墙结构设计规程》DB11/1003-2013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箍筋间距：</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梁箍筋间距（mm）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柱箍筋间距（mm）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墙水平分布筋间距（mm）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200.00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钢构件截面净毛面积比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钢柱计算长度系数：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自动考虑有无侧移</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钢构件材料强度执行《高钢规》JGJ 99-2015</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钢梁宽厚比等级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钢柱宽厚比等级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长细比、宽厚比执行《高钢规》第7.3.9条和7.4.1条</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钢结构设计执行规范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《钢结构设计标准》GB50017-2017</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圆钢管混凝土构件设计执行规范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高规(JGJ 3-2010)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方钢管混凝土构件设计执行规范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(九)配筋信息: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5" w:name="配筋信息"/>
            <w:bookmarkEnd w:id="15"/>
            <w:r>
              <w:rPr>
                <w:rFonts w:hint="eastAsia" w:ascii="宋体" w:eastAsia="宋体"/>
                <w:b w:val="0"/>
                <w:color w:val="000000"/>
                <w:sz w:val="24"/>
                <w:szCs w:val="24"/>
                <w:shd w:val="clear" w:color="auto" w:fill="FFFFFF"/>
              </w:rPr>
              <w:t>钢筋级别：</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HRB500轴心受压强度取400N/mm2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边缘构件箍筋级别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墙分布筋配筋率：</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墙竖向分布筋配筋率（%）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墙最小水平分布筋配筋率（%）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板主筋级别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受剪、受扭、受冲切时，强度取值不超过360N/mm2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(十)荷载组合:</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6" w:name="荷载组合"/>
            <w:bookmarkEnd w:id="16"/>
            <w:r>
              <w:rPr>
                <w:rFonts w:hint="eastAsia" w:ascii="宋体" w:eastAsia="宋体"/>
                <w:b w:val="0"/>
                <w:color w:val="000000"/>
                <w:sz w:val="24"/>
                <w:szCs w:val="24"/>
                <w:shd w:val="clear" w:color="auto" w:fill="FFFFFF"/>
              </w:rPr>
              <w:t>地震与风同时组合</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考虑竖向地震为主的组合</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普通风与特殊风同时进行组合</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温度作用考虑风荷载参与组合的组合值系数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砼构件温度效应折减系数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屋面活荷载、雪荷载和风荷载组合原则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屋面活荷载、风荷载和雪荷载同时进行组合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水平地震作用分项系数γEh（主控）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水平地震作用分项系数γEh（非主控）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荷载组合方式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采用默认组合</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(十一)地下室信息: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7" w:name="地下室信息"/>
            <w:bookmarkEnd w:id="17"/>
            <w:r>
              <w:rPr>
                <w:rFonts w:hint="eastAsia" w:ascii="宋体" w:eastAsia="宋体"/>
                <w:b w:val="0"/>
                <w:color w:val="000000"/>
                <w:sz w:val="24"/>
                <w:szCs w:val="24"/>
                <w:shd w:val="clear" w:color="auto" w:fill="FFFFFF"/>
              </w:rPr>
              <w:t>室外地面与结构最底部的高差（单位m）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x向土层水平抗力系数的比例系数（m值）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y向土层水平抗力系数的比例系数（m值）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x向地面处回填土刚度折减系数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y向地面处回填土刚度折减系数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地下室外墙侧水土压力参数：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室外地坪标高（m）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-0.35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回填土侧压力系数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回填土天然容重（kN/m3）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地下水位标高（m）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回填土饱和容重(kN/m2)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室外地面附加荷载（kN/m2）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面外设计方法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有限元方法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水土侧压计算</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水土分算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水压力年限调整系数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考虑对整体结构的影响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人防设计信息：</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人防地下室总层数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竖向配筋方式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纯弯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外墙纵筋保护层厚度（mm）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内墙纵筋保护层厚度（mm）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35.00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(十二)性能设计:</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8" w:name="性能设计"/>
            <w:bookmarkEnd w:id="18"/>
            <w:r>
              <w:rPr>
                <w:rFonts w:hint="eastAsia" w:ascii="宋体" w:eastAsia="宋体"/>
                <w:b w:val="0"/>
                <w:color w:val="000000"/>
                <w:sz w:val="24"/>
                <w:szCs w:val="24"/>
                <w:shd w:val="clear" w:color="auto" w:fill="FFFFFF"/>
              </w:rPr>
              <w:t>性能设计方法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(十三)高级参数:</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9" w:name="高级参数"/>
            <w:bookmarkEnd w:id="19"/>
            <w:r>
              <w:rPr>
                <w:rFonts w:hint="eastAsia" w:ascii="宋体" w:eastAsia="宋体"/>
                <w:b w:val="0"/>
                <w:color w:val="000000"/>
                <w:sz w:val="24"/>
                <w:szCs w:val="24"/>
                <w:shd w:val="clear" w:color="auto" w:fill="FFFFFF"/>
              </w:rPr>
              <w:t>计算软件信息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64位</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线性方程组解法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Pardiso</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地震作用分析方法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总刚分析方法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位移输出方式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简化输出</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生成传给基础的刚度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墙柱配筋采用考虑翼缘共同工作的设计方法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计算资源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本地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采用自定义位移指标统计节点范围</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按框架梁建模的连梁混凝土等级默认同墙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二道防线调整时，调整与框架柱相连的框架梁端弯矩、剪力</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薄弱层地震内力调整时不放大构件轴力</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放大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剪切刚度计算时考虑柱刚域影响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短肢墙判断时考虑相连墙肢厚度影响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刚重比验算考虑填充墙刚度影响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剪力墙端柱的面外剪力统计到框架部分</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按构件内力累加方式计算层指标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传施工步荷载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自动设置楼板力学模型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高低跨自动设置为桁架</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采用自定义范围统计指标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位移指标统计时考虑斜柱（仅限小于“支撑临界角”的斜柱）</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执行《混凝土规范》9.2.6.1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执行《混凝土规范》11.3.7</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根据质量加权位移计算平均层间位移</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支撑临界角（度）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工业设备框架风荷载X向调整系数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工业设备框架风荷载Y向调整系数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(十四)其他重要参数:</w:t>
      </w:r>
    </w:p>
    <w:tbl>
      <w:tblPr>
        <w:tblStyle w:val="42"/>
        <w:tblW w:w="9072" w:type="dxa"/>
        <w:jc w:val="center"/>
        <w:tblLayout w:type="autofit"/>
        <w:tblCellMar>
          <w:top w:w="0" w:type="dxa"/>
          <w:left w:w="108" w:type="dxa"/>
          <w:bottom w:w="0" w:type="dxa"/>
          <w:right w:w="108" w:type="dxa"/>
        </w:tblCellMar>
      </w:tblPr>
      <w:tblGrid>
        <w:gridCol w:w="4536"/>
        <w:gridCol w:w="4536"/>
      </w:tblGrid>
      <w:tr>
        <w:trPr>
          <w:jc w:val="center"/>
        </w:trPr>
        <w:tc>
          <w:tcPr>
            <w:tcW w:w="4536" w:type="dxa"/>
            <w:shd w:val="clear" w:color="auto" w:fill="FFFFFF"/>
            <w:vAlign w:val="bottom"/>
          </w:tcPr>
          <w:p>
            <w:pPr>
              <w:jc w:val="left"/>
            </w:pPr>
            <w:bookmarkStart w:id="20" w:name="其他重要参数"/>
            <w:bookmarkEnd w:id="20"/>
            <w:r>
              <w:rPr>
                <w:rFonts w:hint="eastAsia" w:ascii="宋体" w:eastAsia="宋体"/>
                <w:b w:val="0"/>
                <w:color w:val="000000"/>
                <w:sz w:val="24"/>
                <w:szCs w:val="24"/>
                <w:shd w:val="clear" w:color="auto" w:fill="FFFFFF"/>
              </w:rPr>
              <w:t>主控自由度总数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105</w:t>
            </w:r>
          </w:p>
        </w:tc>
      </w:tr>
    </w:tbl>
    <w:p>
      <w:pPr>
        <w:spacing w:beforeLines="113" w:afterLines="113" w:line="113" w:lineRule="auto"/>
        <w:jc w:val="left"/>
      </w:pPr>
    </w:p>
    <w:p>
      <w:pPr>
        <w:pStyle w:val="3"/>
        <w:jc w:val="left"/>
      </w:pPr>
      <w:bookmarkStart w:id="21" w:name="_Toc17215"/>
      <w:r>
        <w:rPr>
          <w:rFonts w:hint="eastAsia" w:ascii="宋体" w:eastAsia="宋体"/>
          <w:b/>
          <w:color w:val="000000"/>
          <w:sz w:val="28"/>
          <w:szCs w:val="28"/>
          <w:shd w:val="clear" w:color="auto" w:fill="FFFFFF"/>
        </w:rPr>
        <w:t>2. 楼层信息</w:t>
      </w:r>
      <w:bookmarkEnd w:id="21"/>
    </w:p>
    <w:p>
      <w:pPr>
        <w:spacing w:beforeLines="113" w:afterLines="113" w:line="113" w:lineRule="auto"/>
        <w:jc w:val="center"/>
      </w:pPr>
      <w:r>
        <w:rPr>
          <w:rFonts w:hint="eastAsia" w:ascii="黑体" w:eastAsia="黑体"/>
          <w:b/>
          <w:color w:val="000000"/>
          <w:sz w:val="26"/>
          <w:szCs w:val="26"/>
          <w:shd w:val="clear" w:color="auto" w:fill="FFFFFF"/>
        </w:rPr>
        <w:t>表6-1 构件材料</w:t>
      </w:r>
    </w:p>
    <w:tbl>
      <w:tblPr>
        <w:tblStyle w:val="31"/>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36"/>
        <w:gridCol w:w="1036"/>
        <w:gridCol w:w="1037"/>
        <w:gridCol w:w="1036"/>
        <w:gridCol w:w="1037"/>
        <w:gridCol w:w="1037"/>
        <w:gridCol w:w="103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梁元</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柱元(含支撑)</w:t>
            </w:r>
          </w:p>
        </w:tc>
        <w:tc>
          <w:tcPr>
            <w:tcW w:w="2041" w:type="dxa"/>
            <w:gridSpan w:val="2"/>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墙元</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020"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材料</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48</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020" w:type="dxa"/>
            <w:shd w:val="clear" w:color="auto" w:fill="FFFFFF"/>
            <w:vAlign w:val="center"/>
          </w:tcPr>
          <w:p>
            <w:pPr>
              <w:jc w:val="center"/>
            </w:pPr>
          </w:p>
        </w:tc>
        <w:tc>
          <w:tcPr>
            <w:tcW w:w="1020"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表6-2 梁柱板钢筋强度及保护层厚度</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34"/>
        <w:gridCol w:w="1134"/>
        <w:gridCol w:w="1134"/>
        <w:gridCol w:w="1134"/>
        <w:gridCol w:w="1134"/>
        <w:gridCol w:w="1134"/>
        <w:gridCol w:w="113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柱纵筋</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柱箍筋</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柱保护层厚度</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梁纵筋</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梁箍筋</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梁保护层厚度</w:t>
            </w:r>
          </w:p>
        </w:tc>
        <w:tc>
          <w:tcPr>
            <w:tcW w:w="113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楼板钢筋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r>
    </w:tbl>
    <w:p>
      <w:pPr>
        <w:spacing w:beforeLines="113" w:afterLines="113" w:line="113" w:lineRule="auto"/>
        <w:jc w:val="left"/>
      </w:pPr>
      <w:r>
        <w:rPr>
          <w:rFonts w:hint="eastAsia" w:ascii="宋体" w:eastAsia="宋体"/>
          <w:b w:val="0"/>
          <w:color w:val="000000"/>
          <w:sz w:val="24"/>
          <w:szCs w:val="24"/>
          <w:shd w:val="clear" w:color="auto" w:fill="FFFFFF"/>
        </w:rPr>
        <w:t>注: 保护层厚度单位为mm</w:t>
      </w:r>
    </w:p>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center"/>
      </w:pPr>
    </w:p>
    <w:p>
      <w:pPr>
        <w:spacing w:beforeLines="113" w:afterLines="113" w:line="113" w:lineRule="auto"/>
        <w:jc w:val="center"/>
      </w:pPr>
      <w:r>
        <w:rPr>
          <w:rFonts w:hint="eastAsia" w:ascii="黑体" w:eastAsia="黑体"/>
          <w:b/>
          <w:color w:val="000000"/>
          <w:sz w:val="26"/>
          <w:szCs w:val="26"/>
          <w:shd w:val="clear" w:color="auto" w:fill="FFFFFF"/>
        </w:rPr>
        <w:t>表6-3 墙钢筋强度</w:t>
      </w:r>
    </w:p>
    <w:tbl>
      <w:tblPr>
        <w:tblStyle w:val="29"/>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1360"/>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墙主筋</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墙水平分布筋</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墙竖向分布筋</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边缘构件箍筋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270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270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270</w:t>
            </w:r>
          </w:p>
        </w:tc>
      </w:tr>
    </w:tbl>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表6-4 墙分布筋配筋率</w:t>
      </w:r>
    </w:p>
    <w:tbl>
      <w:tblPr>
        <w:tblStyle w:val="29"/>
        <w:tblW w:w="714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3402"/>
        <w:gridCol w:w="283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3402"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最小水平分布筋配筋率(%)</w:t>
            </w:r>
          </w:p>
        </w:tc>
        <w:tc>
          <w:tcPr>
            <w:tcW w:w="2835"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墙竖向分布筋配筋率(%)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3402"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2835" w:type="dxa"/>
            <w:shd w:val="clear" w:color="auto" w:fill="FFFFFF"/>
            <w:vAlign w:val="center"/>
          </w:tcPr>
          <w:p>
            <w:pPr>
              <w:jc w:val="center"/>
            </w:pPr>
            <w:r>
              <w:rPr>
                <w:rFonts w:hint="eastAsia" w:ascii="宋体" w:eastAsia="宋体"/>
                <w:b w:val="0"/>
                <w:color w:val="000000"/>
                <w:sz w:val="24"/>
                <w:szCs w:val="24"/>
                <w:shd w:val="clear" w:color="auto" w:fill="FFFFFF"/>
              </w:rPr>
              <w:t>0.30%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4445" t="4445" r="6350" b="635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rFonts w:hint="eastAsia" w:ascii="宋体" w:eastAsia="宋体"/>
          <w:b w:val="0"/>
          <w:color w:val="000000"/>
          <w:sz w:val="24"/>
          <w:szCs w:val="24"/>
          <w:shd w:val="clear" w:color="auto" w:fill="FFFFFF"/>
        </w:rPr>
        <w:t>图6-1 全楼构件材料简图</w:t>
      </w:r>
    </w:p>
    <w:p>
      <w:pPr>
        <w:spacing w:beforeLines="113" w:afterLines="113" w:line="113" w:lineRule="auto"/>
        <w:jc w:val="center"/>
      </w:pPr>
    </w:p>
    <w:p>
      <w:pPr>
        <w:pStyle w:val="3"/>
        <w:jc w:val="left"/>
      </w:pPr>
      <w:bookmarkStart w:id="22" w:name="_Toc1723"/>
      <w:r>
        <w:rPr>
          <w:rFonts w:hint="eastAsia" w:ascii="宋体" w:eastAsia="宋体"/>
          <w:b/>
          <w:color w:val="000000"/>
          <w:sz w:val="28"/>
          <w:szCs w:val="28"/>
          <w:shd w:val="clear" w:color="auto" w:fill="FFFFFF"/>
        </w:rPr>
        <w:t>3. 各层等效尺寸</w:t>
      </w:r>
      <w:bookmarkEnd w:id="22"/>
    </w:p>
    <w:p>
      <w:pPr>
        <w:spacing w:beforeLines="113" w:afterLines="113" w:line="113" w:lineRule="auto"/>
        <w:jc w:val="center"/>
      </w:pPr>
      <w:r>
        <w:rPr>
          <w:rFonts w:hint="eastAsia" w:ascii="黑体" w:eastAsia="黑体"/>
          <w:b/>
          <w:color w:val="000000"/>
          <w:sz w:val="26"/>
          <w:szCs w:val="26"/>
          <w:shd w:val="clear" w:color="auto" w:fill="FFFFFF"/>
        </w:rPr>
        <w:t>表6-5 各层等效尺寸(单位:m,m^2)</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80"/>
        <w:gridCol w:w="980"/>
        <w:gridCol w:w="980"/>
        <w:gridCol w:w="980"/>
        <w:gridCol w:w="1228"/>
        <w:gridCol w:w="981"/>
        <w:gridCol w:w="981"/>
        <w:gridCol w:w="981"/>
        <w:gridCol w:w="98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63"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累计层高</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面积</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形心X,Y</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等效宽B</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等效高H</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最大宽BMAX</w:t>
            </w:r>
          </w:p>
        </w:tc>
        <w:tc>
          <w:tcPr>
            <w:tcW w:w="96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最小宽BMIN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7.600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6.900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223.65</w:t>
            </w:r>
          </w:p>
        </w:tc>
        <w:tc>
          <w:tcPr>
            <w:tcW w:w="963" w:type="dxa"/>
            <w:shd w:val="clear" w:color="auto" w:fill="FFFFFF"/>
            <w:vAlign w:val="center"/>
          </w:tcPr>
          <w:p>
            <w:pPr>
              <w:jc w:val="center"/>
            </w:pPr>
            <w:r>
              <w:rPr>
                <w:rFonts w:hint="eastAsia" w:ascii="宋体" w:eastAsia="宋体"/>
                <w:b w:val="0"/>
                <w:color w:val="000000"/>
                <w:sz w:val="18"/>
                <w:szCs w:val="18"/>
                <w:shd w:val="clear" w:color="auto" w:fill="FFFFFF"/>
              </w:rPr>
              <w:t>25.88,19.23</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24.85</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24.85</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表6-6 各层的柱、墙面积信息(单位:m^2)</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1"/>
        <w:gridCol w:w="1481"/>
        <w:gridCol w:w="1543"/>
        <w:gridCol w:w="1543"/>
        <w:gridCol w:w="1481"/>
        <w:gridCol w:w="154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楼层面积</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柱面积</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墙面积</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X向墙面积</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Y向墙面积</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223.65</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2.47(1.11%)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0.00(0.00%)</w:t>
            </w:r>
          </w:p>
        </w:tc>
        <w:tc>
          <w:tcPr>
            <w:tcW w:w="1474" w:type="dxa"/>
            <w:shd w:val="clear" w:color="auto" w:fill="FFFFFF"/>
            <w:vAlign w:val="center"/>
          </w:tcPr>
          <w:p>
            <w:pPr>
              <w:jc w:val="center"/>
            </w:pPr>
            <w:r>
              <w:rPr>
                <w:rFonts w:hint="eastAsia" w:ascii="宋体" w:eastAsia="宋体"/>
                <w:b w:val="0"/>
                <w:color w:val="000000"/>
                <w:sz w:val="18"/>
                <w:szCs w:val="18"/>
                <w:shd w:val="clear" w:color="auto" w:fill="FFFFFF"/>
              </w:rPr>
              <w:t>0.00(0.00%)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0.00(0.00%)</w:t>
            </w:r>
          </w:p>
        </w:tc>
      </w:tr>
    </w:tbl>
    <w:p>
      <w:pPr>
        <w:spacing w:beforeLines="113" w:afterLines="113" w:line="113" w:lineRule="auto"/>
        <w:jc w:val="left"/>
      </w:pPr>
    </w:p>
    <w:p>
      <w:pPr>
        <w:pStyle w:val="3"/>
        <w:jc w:val="left"/>
      </w:pPr>
      <w:bookmarkStart w:id="23" w:name="_Toc22273"/>
      <w:r>
        <w:rPr>
          <w:rFonts w:hint="eastAsia" w:ascii="宋体" w:eastAsia="宋体"/>
          <w:b/>
          <w:color w:val="000000"/>
          <w:sz w:val="28"/>
          <w:szCs w:val="28"/>
          <w:shd w:val="clear" w:color="auto" w:fill="FFFFFF"/>
        </w:rPr>
        <w:t>4. 层塔属性</w:t>
      </w:r>
      <w:bookmarkEnd w:id="23"/>
    </w:p>
    <w:p>
      <w:pPr>
        <w:spacing w:beforeLines="113" w:afterLines="113" w:line="113" w:lineRule="auto"/>
        <w:jc w:val="center"/>
      </w:pPr>
      <w:r>
        <w:rPr>
          <w:rFonts w:hint="eastAsia" w:ascii="黑体" w:eastAsia="黑体"/>
          <w:b/>
          <w:color w:val="000000"/>
          <w:sz w:val="26"/>
          <w:szCs w:val="26"/>
          <w:shd w:val="clear" w:color="auto" w:fill="FFFFFF"/>
        </w:rPr>
        <w:t>表6-7 楼层属性表</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7"/>
        <w:gridCol w:w="907"/>
        <w:gridCol w:w="907"/>
        <w:gridCol w:w="907"/>
        <w:gridCol w:w="907"/>
        <w:gridCol w:w="907"/>
        <w:gridCol w:w="907"/>
        <w:gridCol w:w="908"/>
        <w:gridCol w:w="90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约束边缘构件层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过渡层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底部加强区楼层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转换层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加强层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顶部小塔楼</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输出位移比</w:t>
            </w:r>
          </w:p>
        </w:tc>
        <w:tc>
          <w:tcPr>
            <w:tcW w:w="90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结构镂空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表6-8 构件材料层塔属性</w:t>
      </w:r>
    </w:p>
    <w:tbl>
      <w:tblPr>
        <w:tblStyle w:val="31"/>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1541"/>
        <w:gridCol w:w="2113"/>
        <w:gridCol w:w="1541"/>
        <w:gridCol w:w="211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混凝土梁</w:t>
            </w:r>
          </w:p>
        </w:tc>
        <w:tc>
          <w:tcPr>
            <w:tcW w:w="2097"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混凝土柱</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钢梁</w:t>
            </w:r>
          </w:p>
        </w:tc>
        <w:tc>
          <w:tcPr>
            <w:tcW w:w="2097"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钢柱</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2097"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钢号</w:t>
            </w:r>
          </w:p>
        </w:tc>
        <w:tc>
          <w:tcPr>
            <w:tcW w:w="2097"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2097"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Q235</w:t>
            </w:r>
          </w:p>
        </w:tc>
        <w:tc>
          <w:tcPr>
            <w:tcW w:w="2097"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表6-9 墙、支撑混凝土强度等级及钢筋强度</w:t>
      </w:r>
    </w:p>
    <w:tbl>
      <w:tblPr>
        <w:tblStyle w:val="31"/>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混凝土墙</w:t>
            </w:r>
          </w:p>
        </w:tc>
        <w:tc>
          <w:tcPr>
            <w:tcW w:w="1814"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钢支撑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81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81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pStyle w:val="16"/>
        <w:jc w:val="center"/>
      </w:pPr>
      <w:bookmarkStart w:id="24" w:name="_Toc18922"/>
      <w:r>
        <w:rPr>
          <w:rFonts w:hint="eastAsia" w:ascii="宋体" w:eastAsia="宋体"/>
          <w:b/>
          <w:color w:val="000000"/>
          <w:sz w:val="32"/>
          <w:szCs w:val="32"/>
          <w:shd w:val="clear" w:color="auto" w:fill="FFFFFF"/>
        </w:rPr>
        <w:t>七. 工况和组合</w:t>
      </w:r>
      <w:bookmarkEnd w:id="24"/>
    </w:p>
    <w:p>
      <w:pPr>
        <w:pStyle w:val="3"/>
        <w:jc w:val="left"/>
      </w:pPr>
      <w:bookmarkStart w:id="25" w:name="_Toc27182"/>
      <w:r>
        <w:rPr>
          <w:rFonts w:hint="eastAsia" w:ascii="宋体" w:eastAsia="宋体"/>
          <w:b/>
          <w:color w:val="000000"/>
          <w:sz w:val="28"/>
          <w:szCs w:val="28"/>
          <w:shd w:val="clear" w:color="auto" w:fill="FFFFFF"/>
        </w:rPr>
        <w:t>1. 工况设定</w:t>
      </w:r>
      <w:bookmarkEnd w:id="25"/>
    </w:p>
    <w:p>
      <w:pPr>
        <w:spacing w:beforeLines="113" w:afterLines="113" w:line="113" w:lineRule="auto"/>
        <w:jc w:val="center"/>
      </w:pPr>
      <w:r>
        <w:rPr>
          <w:rFonts w:hint="eastAsia" w:ascii="黑体" w:eastAsia="黑体"/>
          <w:b/>
          <w:color w:val="000000"/>
          <w:sz w:val="26"/>
          <w:szCs w:val="26"/>
          <w:shd w:val="clear" w:color="auto" w:fill="FFFFFF"/>
        </w:rPr>
        <w:t>表7-1 工况设定</w:t>
      </w:r>
    </w:p>
    <w:tbl>
      <w:tblPr>
        <w:tblStyle w:val="29"/>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453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工况编号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工况简称</w:t>
            </w:r>
          </w:p>
        </w:tc>
        <w:tc>
          <w:tcPr>
            <w:tcW w:w="4536"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工况详称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DL</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恒载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活载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LL2</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活载2(不利负包络)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LL3</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活载3(不利正包络)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X向风</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Y向风</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X+Y地震(双向效应)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EXP</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EXM</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Y+X地震(双向效应)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EYP</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EYM</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X正偏心静震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X负偏心静震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Y正偏心静震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Y负偏心静震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CRN</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吊车荷载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Y向地震</w:t>
            </w:r>
          </w:p>
        </w:tc>
      </w:tr>
    </w:tbl>
    <w:p>
      <w:pPr>
        <w:spacing w:beforeLines="113" w:afterLines="113" w:line="113" w:lineRule="auto"/>
        <w:jc w:val="left"/>
      </w:pPr>
    </w:p>
    <w:p>
      <w:pPr>
        <w:pStyle w:val="3"/>
        <w:jc w:val="left"/>
      </w:pPr>
      <w:bookmarkStart w:id="26" w:name="_Toc29143"/>
      <w:r>
        <w:rPr>
          <w:rFonts w:hint="eastAsia" w:ascii="宋体" w:eastAsia="宋体"/>
          <w:b/>
          <w:color w:val="000000"/>
          <w:sz w:val="28"/>
          <w:szCs w:val="28"/>
          <w:shd w:val="clear" w:color="auto" w:fill="FFFFFF"/>
        </w:rPr>
        <w:t>2. 工况信息</w:t>
      </w:r>
      <w:bookmarkEnd w:id="26"/>
    </w:p>
    <w:p>
      <w:pPr>
        <w:spacing w:beforeLines="113" w:afterLines="113" w:line="113" w:lineRule="auto"/>
        <w:jc w:val="center"/>
      </w:pPr>
      <w:r>
        <w:rPr>
          <w:rFonts w:hint="eastAsia" w:ascii="黑体" w:eastAsia="黑体"/>
          <w:b/>
          <w:color w:val="000000"/>
          <w:sz w:val="26"/>
          <w:szCs w:val="26"/>
          <w:shd w:val="clear" w:color="auto" w:fill="FFFFFF"/>
        </w:rPr>
        <w:t>表7-2 永久荷载信息</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2268"/>
        <w:gridCol w:w="2268"/>
        <w:gridCol w:w="226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68"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226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226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分项系数(有利)</w:t>
            </w:r>
          </w:p>
        </w:tc>
        <w:tc>
          <w:tcPr>
            <w:tcW w:w="2268"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FFFFFF"/>
            <w:vAlign w:val="center"/>
          </w:tcPr>
          <w:p>
            <w:pPr>
              <w:jc w:val="center"/>
            </w:pPr>
            <w:r>
              <w:rPr>
                <w:rFonts w:hint="eastAsia" w:ascii="宋体" w:eastAsia="宋体"/>
                <w:b w:val="0"/>
                <w:color w:val="000000"/>
                <w:sz w:val="24"/>
                <w:szCs w:val="24"/>
                <w:shd w:val="clear" w:color="auto" w:fill="FFFFFF"/>
              </w:rPr>
              <w:t>恒荷载(DL)</w:t>
            </w:r>
          </w:p>
        </w:tc>
        <w:tc>
          <w:tcPr>
            <w:tcW w:w="2268" w:type="dxa"/>
            <w:shd w:val="clear" w:color="auto" w:fill="FFFFFF"/>
          </w:tcPr>
          <w:p>
            <w:pPr>
              <w:jc w:val="center"/>
            </w:pPr>
            <w:r>
              <w:rPr>
                <w:rFonts w:hint="eastAsia" w:ascii="宋体" w:eastAsia="宋体"/>
                <w:b w:val="0"/>
                <w:color w:val="000000"/>
                <w:sz w:val="24"/>
                <w:szCs w:val="24"/>
                <w:shd w:val="clear" w:color="auto" w:fill="FFFFFF"/>
              </w:rPr>
              <w:t>1.30</w:t>
            </w:r>
          </w:p>
        </w:tc>
        <w:tc>
          <w:tcPr>
            <w:tcW w:w="2268" w:type="dxa"/>
            <w:shd w:val="clear" w:color="auto" w:fill="FFFFFF"/>
          </w:tcPr>
          <w:p>
            <w:pPr>
              <w:jc w:val="center"/>
            </w:pPr>
            <w:r>
              <w:rPr>
                <w:rFonts w:hint="eastAsia" w:ascii="宋体" w:eastAsia="宋体"/>
                <w:b w:val="0"/>
                <w:color w:val="000000"/>
                <w:sz w:val="24"/>
                <w:szCs w:val="24"/>
                <w:shd w:val="clear" w:color="auto" w:fill="FFFFFF"/>
              </w:rPr>
              <w:t>1.00</w:t>
            </w:r>
          </w:p>
        </w:tc>
        <w:tc>
          <w:tcPr>
            <w:tcW w:w="2268" w:type="dxa"/>
            <w:shd w:val="clear" w:color="auto" w:fill="FFFFFF"/>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表7-3 可变荷载信息</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181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181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抗震组合值系数</w:t>
            </w:r>
          </w:p>
        </w:tc>
        <w:tc>
          <w:tcPr>
            <w:tcW w:w="181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组合值系数</w:t>
            </w:r>
          </w:p>
        </w:tc>
        <w:tc>
          <w:tcPr>
            <w:tcW w:w="181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活荷载(LL)</w:t>
            </w:r>
          </w:p>
        </w:tc>
        <w:tc>
          <w:tcPr>
            <w:tcW w:w="1814" w:type="dxa"/>
            <w:shd w:val="clear" w:color="auto" w:fill="FFFFFF"/>
          </w:tcPr>
          <w:p>
            <w:pPr>
              <w:jc w:val="center"/>
            </w:pPr>
            <w:r>
              <w:rPr>
                <w:rFonts w:hint="eastAsia" w:ascii="宋体" w:eastAsia="宋体"/>
                <w:b w:val="0"/>
                <w:color w:val="000000"/>
                <w:sz w:val="24"/>
                <w:szCs w:val="24"/>
                <w:shd w:val="clear" w:color="auto" w:fill="FFFFFF"/>
              </w:rPr>
              <w:t>1.50</w:t>
            </w:r>
          </w:p>
        </w:tc>
        <w:tc>
          <w:tcPr>
            <w:tcW w:w="1814" w:type="dxa"/>
            <w:shd w:val="clear" w:color="auto" w:fill="FFFFFF"/>
          </w:tcPr>
          <w:p>
            <w:pPr>
              <w:jc w:val="center"/>
            </w:pPr>
            <w:r>
              <w:rPr>
                <w:rFonts w:hint="eastAsia" w:ascii="宋体" w:eastAsia="宋体"/>
                <w:b w:val="0"/>
                <w:color w:val="000000"/>
                <w:sz w:val="24"/>
                <w:szCs w:val="24"/>
                <w:shd w:val="clear" w:color="auto" w:fill="FFFFFF"/>
              </w:rPr>
              <w:t>--</w:t>
            </w:r>
          </w:p>
        </w:tc>
        <w:tc>
          <w:tcPr>
            <w:tcW w:w="1814" w:type="dxa"/>
            <w:shd w:val="clear" w:color="auto" w:fill="FFFFFF"/>
          </w:tcPr>
          <w:p>
            <w:pPr>
              <w:jc w:val="center"/>
            </w:pPr>
            <w:r>
              <w:rPr>
                <w:rFonts w:hint="eastAsia" w:ascii="宋体" w:eastAsia="宋体"/>
                <w:b w:val="0"/>
                <w:color w:val="000000"/>
                <w:sz w:val="24"/>
                <w:szCs w:val="24"/>
                <w:shd w:val="clear" w:color="auto" w:fill="FFFFFF"/>
              </w:rPr>
              <w:t>0.70</w:t>
            </w:r>
          </w:p>
        </w:tc>
        <w:tc>
          <w:tcPr>
            <w:tcW w:w="1814" w:type="dxa"/>
            <w:shd w:val="clear" w:color="auto" w:fill="FFFFFF"/>
          </w:tcPr>
          <w:p>
            <w:pPr>
              <w:jc w:val="center"/>
            </w:pPr>
            <w:r>
              <w:rPr>
                <w:rFonts w:hint="eastAsia" w:ascii="宋体" w:eastAsia="宋体"/>
                <w:b w:val="0"/>
                <w:color w:val="000000"/>
                <w:sz w:val="24"/>
                <w:szCs w:val="24"/>
                <w:shd w:val="clear" w:color="auto" w:fill="FFFFFF"/>
              </w:rPr>
              <w:t>0.50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风荷载(WL)</w:t>
            </w:r>
          </w:p>
        </w:tc>
        <w:tc>
          <w:tcPr>
            <w:tcW w:w="1814" w:type="dxa"/>
            <w:shd w:val="clear" w:color="auto" w:fill="FFFFFF"/>
          </w:tcPr>
          <w:p>
            <w:pPr>
              <w:jc w:val="center"/>
            </w:pPr>
            <w:r>
              <w:rPr>
                <w:rFonts w:hint="eastAsia" w:ascii="宋体" w:eastAsia="宋体"/>
                <w:b w:val="0"/>
                <w:color w:val="000000"/>
                <w:sz w:val="24"/>
                <w:szCs w:val="24"/>
                <w:shd w:val="clear" w:color="auto" w:fill="FFFFFF"/>
              </w:rPr>
              <w:t>1.50</w:t>
            </w:r>
          </w:p>
        </w:tc>
        <w:tc>
          <w:tcPr>
            <w:tcW w:w="1814" w:type="dxa"/>
            <w:shd w:val="clear" w:color="auto" w:fill="FFFFFF"/>
          </w:tcPr>
          <w:p>
            <w:pPr>
              <w:jc w:val="center"/>
            </w:pPr>
            <w:r>
              <w:rPr>
                <w:rFonts w:hint="eastAsia" w:ascii="宋体" w:eastAsia="宋体"/>
                <w:b w:val="0"/>
                <w:color w:val="000000"/>
                <w:sz w:val="24"/>
                <w:szCs w:val="24"/>
                <w:shd w:val="clear" w:color="auto" w:fill="FFFFFF"/>
              </w:rPr>
              <w:t>0.20</w:t>
            </w:r>
          </w:p>
        </w:tc>
        <w:tc>
          <w:tcPr>
            <w:tcW w:w="1814" w:type="dxa"/>
            <w:shd w:val="clear" w:color="auto" w:fill="FFFFFF"/>
          </w:tcPr>
          <w:p>
            <w:pPr>
              <w:jc w:val="center"/>
            </w:pPr>
            <w:r>
              <w:rPr>
                <w:rFonts w:hint="eastAsia" w:ascii="宋体" w:eastAsia="宋体"/>
                <w:b w:val="0"/>
                <w:color w:val="000000"/>
                <w:sz w:val="24"/>
                <w:szCs w:val="24"/>
                <w:shd w:val="clear" w:color="auto" w:fill="FFFFFF"/>
              </w:rPr>
              <w:t>0.60</w:t>
            </w:r>
          </w:p>
        </w:tc>
        <w:tc>
          <w:tcPr>
            <w:tcW w:w="181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吊车荷载(CRN)</w:t>
            </w:r>
          </w:p>
        </w:tc>
        <w:tc>
          <w:tcPr>
            <w:tcW w:w="1814" w:type="dxa"/>
            <w:shd w:val="clear" w:color="auto" w:fill="FFFFFF"/>
          </w:tcPr>
          <w:p>
            <w:pPr>
              <w:jc w:val="center"/>
            </w:pPr>
            <w:r>
              <w:rPr>
                <w:rFonts w:hint="eastAsia" w:ascii="宋体" w:eastAsia="宋体"/>
                <w:b w:val="0"/>
                <w:color w:val="000000"/>
                <w:sz w:val="24"/>
                <w:szCs w:val="24"/>
                <w:shd w:val="clear" w:color="auto" w:fill="FFFFFF"/>
              </w:rPr>
              <w:t>1.50</w:t>
            </w:r>
          </w:p>
        </w:tc>
        <w:tc>
          <w:tcPr>
            <w:tcW w:w="1814" w:type="dxa"/>
            <w:shd w:val="clear" w:color="auto" w:fill="FFFFFF"/>
          </w:tcPr>
          <w:p>
            <w:pPr>
              <w:jc w:val="center"/>
            </w:pPr>
            <w:r>
              <w:rPr>
                <w:rFonts w:hint="eastAsia" w:ascii="宋体" w:eastAsia="宋体"/>
                <w:b w:val="0"/>
                <w:color w:val="000000"/>
                <w:sz w:val="24"/>
                <w:szCs w:val="24"/>
                <w:shd w:val="clear" w:color="auto" w:fill="FFFFFF"/>
              </w:rPr>
              <w:t>--</w:t>
            </w:r>
          </w:p>
        </w:tc>
        <w:tc>
          <w:tcPr>
            <w:tcW w:w="1814" w:type="dxa"/>
            <w:shd w:val="clear" w:color="auto" w:fill="FFFFFF"/>
          </w:tcPr>
          <w:p>
            <w:pPr>
              <w:jc w:val="center"/>
            </w:pPr>
            <w:r>
              <w:rPr>
                <w:rFonts w:hint="eastAsia" w:ascii="宋体" w:eastAsia="宋体"/>
                <w:b w:val="0"/>
                <w:color w:val="000000"/>
                <w:sz w:val="24"/>
                <w:szCs w:val="24"/>
                <w:shd w:val="clear" w:color="auto" w:fill="FFFFFF"/>
              </w:rPr>
              <w:t>0.70</w:t>
            </w:r>
          </w:p>
        </w:tc>
        <w:tc>
          <w:tcPr>
            <w:tcW w:w="1814" w:type="dxa"/>
            <w:shd w:val="clear" w:color="auto" w:fill="FFFFFF"/>
          </w:tcPr>
          <w:p>
            <w:pPr>
              <w:jc w:val="center"/>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表7-4 地震作用信息</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024"/>
        <w:gridCol w:w="3024"/>
        <w:gridCol w:w="302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005"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3005"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分项系数(主控)</w:t>
            </w:r>
          </w:p>
        </w:tc>
        <w:tc>
          <w:tcPr>
            <w:tcW w:w="3005"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分项系数(非主控)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005" w:type="dxa"/>
            <w:shd w:val="clear" w:color="auto" w:fill="FFFFFF"/>
          </w:tcPr>
          <w:p>
            <w:pPr>
              <w:jc w:val="center"/>
            </w:pPr>
            <w:r>
              <w:rPr>
                <w:rFonts w:hint="eastAsia" w:ascii="宋体" w:eastAsia="宋体"/>
                <w:b w:val="0"/>
                <w:color w:val="000000"/>
                <w:sz w:val="24"/>
                <w:szCs w:val="24"/>
                <w:shd w:val="clear" w:color="auto" w:fill="FFFFFF"/>
              </w:rPr>
              <w:t>水平地震(EH)</w:t>
            </w:r>
          </w:p>
        </w:tc>
        <w:tc>
          <w:tcPr>
            <w:tcW w:w="3005" w:type="dxa"/>
            <w:shd w:val="clear" w:color="auto" w:fill="FFFFFF"/>
          </w:tcPr>
          <w:p>
            <w:pPr>
              <w:jc w:val="center"/>
            </w:pPr>
            <w:r>
              <w:rPr>
                <w:rFonts w:hint="eastAsia" w:ascii="宋体" w:eastAsia="宋体"/>
                <w:b w:val="0"/>
                <w:color w:val="000000"/>
                <w:sz w:val="24"/>
                <w:szCs w:val="24"/>
                <w:shd w:val="clear" w:color="auto" w:fill="FFFFFF"/>
              </w:rPr>
              <w:t>1.40</w:t>
            </w:r>
          </w:p>
        </w:tc>
        <w:tc>
          <w:tcPr>
            <w:tcW w:w="3005" w:type="dxa"/>
            <w:shd w:val="clear" w:color="auto" w:fill="FFFFFF"/>
          </w:tcPr>
          <w:p>
            <w:pPr>
              <w:jc w:val="center"/>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pStyle w:val="3"/>
        <w:jc w:val="left"/>
      </w:pPr>
      <w:bookmarkStart w:id="27" w:name="_Toc26413"/>
      <w:r>
        <w:rPr>
          <w:rFonts w:hint="eastAsia" w:ascii="宋体" w:eastAsia="宋体"/>
          <w:b/>
          <w:color w:val="000000"/>
          <w:sz w:val="28"/>
          <w:szCs w:val="28"/>
          <w:shd w:val="clear" w:color="auto" w:fill="FFFFFF"/>
        </w:rPr>
        <w:t>3. 构件内力基本组合系数</w:t>
      </w:r>
      <w:bookmarkEnd w:id="27"/>
    </w:p>
    <w:tbl>
      <w:tblPr>
        <w:tblStyle w:val="42"/>
        <w:tblW w:w="9072" w:type="dxa"/>
        <w:jc w:val="center"/>
        <w:tblLayout w:type="autofit"/>
        <w:tblCellMar>
          <w:top w:w="0" w:type="dxa"/>
          <w:left w:w="108" w:type="dxa"/>
          <w:bottom w:w="0" w:type="dxa"/>
          <w:right w:w="108" w:type="dxa"/>
        </w:tblCellMar>
      </w:tblPr>
      <w:tblGrid>
        <w:gridCol w:w="2268"/>
        <w:gridCol w:w="2268"/>
        <w:gridCol w:w="2268"/>
        <w:gridCol w:w="2268"/>
      </w:tblGrid>
      <w:tr>
        <w:tblPrEx>
          <w:tblCellMar>
            <w:top w:w="0" w:type="dxa"/>
            <w:left w:w="108" w:type="dxa"/>
            <w:bottom w:w="0" w:type="dxa"/>
            <w:right w:w="108" w:type="dxa"/>
          </w:tblCellMar>
        </w:tblPrEx>
        <w:trPr>
          <w:tblHeader/>
          <w:jc w:val="center"/>
        </w:trPr>
        <w:tc>
          <w:tcPr>
            <w:tcW w:w="2268" w:type="dxa"/>
            <w:shd w:val="clear" w:color="auto" w:fill="FFFFFF"/>
          </w:tcPr>
          <w:p>
            <w:pPr>
              <w:jc w:val="left"/>
            </w:pPr>
          </w:p>
        </w:tc>
        <w:tc>
          <w:tcPr>
            <w:tcW w:w="2268" w:type="dxa"/>
            <w:shd w:val="clear" w:color="auto" w:fill="FFFFFF"/>
          </w:tcPr>
          <w:p>
            <w:pPr>
              <w:jc w:val="left"/>
            </w:pPr>
          </w:p>
        </w:tc>
        <w:tc>
          <w:tcPr>
            <w:tcW w:w="2268" w:type="dxa"/>
            <w:shd w:val="clear" w:color="auto" w:fill="FFFFFF"/>
          </w:tcPr>
          <w:p>
            <w:pPr>
              <w:jc w:val="left"/>
            </w:pPr>
          </w:p>
        </w:tc>
        <w:tc>
          <w:tcPr>
            <w:tcW w:w="2268" w:type="dxa"/>
            <w:shd w:val="clear" w:color="auto" w:fill="FFFFFF"/>
          </w:tcPr>
          <w:p>
            <w:pPr>
              <w:jc w:val="left"/>
            </w:pPr>
          </w:p>
        </w:tc>
      </w:tr>
      <w:tr>
        <w:tblPrEx>
          <w:tblCellMar>
            <w:top w:w="0" w:type="dxa"/>
            <w:left w:w="108" w:type="dxa"/>
            <w:bottom w:w="0" w:type="dxa"/>
            <w:right w:w="108" w:type="dxa"/>
          </w:tblCellMar>
        </w:tblPrEx>
        <w:trPr>
          <w:jc w:val="center"/>
        </w:trPr>
        <w:tc>
          <w:tcPr>
            <w:tcW w:w="2268" w:type="dxa"/>
            <w:shd w:val="clear" w:color="auto" w:fill="FFFFFF"/>
          </w:tcPr>
          <w:p>
            <w:pPr>
              <w:jc w:val="left"/>
            </w:pPr>
            <w:r>
              <w:rPr>
                <w:rFonts w:hint="eastAsia" w:ascii="宋体" w:eastAsia="宋体"/>
                <w:b w:val="0"/>
                <w:color w:val="000000"/>
                <w:sz w:val="24"/>
                <w:szCs w:val="24"/>
                <w:shd w:val="clear" w:color="auto" w:fill="FFFFFF"/>
              </w:rPr>
              <w:t>DL: 恒荷载</w:t>
            </w:r>
          </w:p>
        </w:tc>
        <w:tc>
          <w:tcPr>
            <w:tcW w:w="2268" w:type="dxa"/>
            <w:shd w:val="clear" w:color="auto" w:fill="FFFFFF"/>
          </w:tcPr>
          <w:p>
            <w:pPr>
              <w:jc w:val="left"/>
            </w:pPr>
            <w:r>
              <w:rPr>
                <w:rFonts w:hint="eastAsia" w:ascii="宋体" w:eastAsia="宋体"/>
                <w:b w:val="0"/>
                <w:color w:val="000000"/>
                <w:sz w:val="24"/>
                <w:szCs w:val="24"/>
                <w:shd w:val="clear" w:color="auto" w:fill="FFFFFF"/>
              </w:rPr>
              <w:t>LL: 活荷载</w:t>
            </w:r>
          </w:p>
        </w:tc>
        <w:tc>
          <w:tcPr>
            <w:tcW w:w="2268" w:type="dxa"/>
            <w:shd w:val="clear" w:color="auto" w:fill="FFFFFF"/>
          </w:tcPr>
          <w:p>
            <w:pPr>
              <w:jc w:val="left"/>
            </w:pPr>
            <w:r>
              <w:rPr>
                <w:rFonts w:hint="eastAsia" w:ascii="宋体" w:eastAsia="宋体"/>
                <w:b w:val="0"/>
                <w:color w:val="000000"/>
                <w:sz w:val="24"/>
                <w:szCs w:val="24"/>
                <w:shd w:val="clear" w:color="auto" w:fill="FFFFFF"/>
              </w:rPr>
              <w:t>WL: 风荷载</w:t>
            </w:r>
          </w:p>
        </w:tc>
        <w:tc>
          <w:tcPr>
            <w:tcW w:w="2268" w:type="dxa"/>
            <w:shd w:val="clear" w:color="auto" w:fill="FFFFFF"/>
          </w:tcPr>
          <w:p>
            <w:pPr>
              <w:jc w:val="left"/>
            </w:pPr>
            <w:r>
              <w:rPr>
                <w:rFonts w:hint="eastAsia" w:ascii="宋体" w:eastAsia="宋体"/>
                <w:b w:val="0"/>
                <w:color w:val="000000"/>
                <w:sz w:val="24"/>
                <w:szCs w:val="24"/>
                <w:shd w:val="clear" w:color="auto" w:fill="FFFFFF"/>
              </w:rPr>
              <w:t>EH: 水平地震</w:t>
            </w:r>
          </w:p>
        </w:tc>
      </w:tr>
      <w:tr>
        <w:tblPrEx>
          <w:tblCellMar>
            <w:top w:w="0" w:type="dxa"/>
            <w:left w:w="108" w:type="dxa"/>
            <w:bottom w:w="0" w:type="dxa"/>
            <w:right w:w="108" w:type="dxa"/>
          </w:tblCellMar>
        </w:tblPrEx>
        <w:trPr>
          <w:jc w:val="center"/>
        </w:trPr>
        <w:tc>
          <w:tcPr>
            <w:tcW w:w="2268" w:type="dxa"/>
            <w:shd w:val="clear" w:color="auto" w:fill="FFFFFF"/>
          </w:tcPr>
          <w:p>
            <w:pPr>
              <w:jc w:val="left"/>
            </w:pPr>
            <w:r>
              <w:rPr>
                <w:rFonts w:hint="eastAsia" w:ascii="宋体" w:eastAsia="宋体"/>
                <w:b w:val="0"/>
                <w:color w:val="000000"/>
                <w:sz w:val="24"/>
                <w:szCs w:val="24"/>
                <w:shd w:val="clear" w:color="auto" w:fill="FFFFFF"/>
              </w:rPr>
              <w:t>CRN: 吊车荷载</w:t>
            </w:r>
          </w:p>
        </w:tc>
        <w:tc>
          <w:tcPr>
            <w:tcW w:w="2268" w:type="dxa"/>
            <w:shd w:val="clear" w:color="auto" w:fill="FFFFFF"/>
          </w:tcPr>
          <w:p>
            <w:pPr>
              <w:jc w:val="left"/>
            </w:pPr>
          </w:p>
        </w:tc>
        <w:tc>
          <w:tcPr>
            <w:tcW w:w="2268" w:type="dxa"/>
            <w:shd w:val="clear" w:color="auto" w:fill="FFFFFF"/>
          </w:tcPr>
          <w:p>
            <w:pPr>
              <w:jc w:val="left"/>
            </w:pPr>
          </w:p>
        </w:tc>
        <w:tc>
          <w:tcPr>
            <w:tcW w:w="2268" w:type="dxa"/>
            <w:shd w:val="clear" w:color="auto" w:fill="FFFFFF"/>
          </w:tcPr>
          <w:p>
            <w:pPr>
              <w:jc w:val="left"/>
            </w:pPr>
          </w:p>
        </w:tc>
      </w:tr>
    </w:tbl>
    <w:p>
      <w:pPr>
        <w:spacing w:beforeLines="113" w:afterLines="113" w:line="113" w:lineRule="auto"/>
        <w:jc w:val="center"/>
      </w:pPr>
      <w:r>
        <w:rPr>
          <w:rFonts w:hint="eastAsia" w:ascii="黑体" w:eastAsia="黑体"/>
          <w:b/>
          <w:color w:val="000000"/>
          <w:sz w:val="26"/>
          <w:szCs w:val="26"/>
          <w:shd w:val="clear" w:color="auto" w:fill="FFFFFF"/>
        </w:rPr>
        <w:t>表7-5 工况组合原则</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816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color w:val="000000"/>
                <w:sz w:val="24"/>
                <w:szCs w:val="24"/>
                <w:shd w:val="clear" w:color="auto" w:fill="FFFFFF"/>
              </w:rPr>
              <w:t>编号</w:t>
            </w:r>
          </w:p>
        </w:tc>
        <w:tc>
          <w:tcPr>
            <w:tcW w:w="816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color w:val="000000"/>
                <w:sz w:val="24"/>
                <w:szCs w:val="24"/>
                <w:shd w:val="clear" w:color="auto" w:fill="FFFFFF"/>
              </w:rPr>
              <w:t>组合</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7</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8</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9</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10</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11</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13</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14</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15</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16</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17</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0.65*LL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18</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0.65*LL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19</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0.50*LL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20</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0.50*LL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21</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22</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1.05*LL        1.50*CRN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23</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24</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1.05*LL        1.50*CRN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25</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1.50*WL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26</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-1.50*WL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27</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1.50*WL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28</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-1.50*WL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29</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        0.90*WL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30</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       -0.90*WL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31</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1.05*LL        1.50*WL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32</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1.05*LL       -1.50*WL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33</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1.05*LL        0.90*WL        1.50*CRN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34</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1.05*LL       -0.90*WL        1.50*CRN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35</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        0.90*WL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36</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       -0.90*WL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37</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1.05*LL        1.50*WL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38</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1.05*LL       -1.50*WL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39</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1.05*LL        0.90*WL        1.50*CRN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40</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1.05*LL       -0.90*WL        1.50*CRN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41</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0.65*LL        1.40*EH        0.65*CRN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42</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0.65*LL       -1.40*EH        0.65*CRN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43</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0.50*LL        1.40*EH        0.50*CRN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44</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0.50*LL       -1.40*EH        0.50*CRN</w:t>
            </w:r>
          </w:p>
        </w:tc>
      </w:tr>
    </w:tbl>
    <w:p>
      <w:pPr>
        <w:spacing w:beforeLines="113" w:afterLines="113" w:line="113" w:lineRule="auto"/>
        <w:jc w:val="left"/>
      </w:pPr>
    </w:p>
    <w:p>
      <w:pPr>
        <w:pStyle w:val="16"/>
        <w:jc w:val="center"/>
      </w:pPr>
      <w:bookmarkStart w:id="28" w:name="_Toc20783"/>
      <w:r>
        <w:rPr>
          <w:rFonts w:hint="eastAsia" w:ascii="宋体" w:eastAsia="宋体"/>
          <w:b/>
          <w:color w:val="000000"/>
          <w:sz w:val="32"/>
          <w:szCs w:val="32"/>
          <w:shd w:val="clear" w:color="auto" w:fill="FFFFFF"/>
        </w:rPr>
        <w:t>八. 质量信息</w:t>
      </w:r>
      <w:bookmarkEnd w:id="28"/>
    </w:p>
    <w:p>
      <w:pPr>
        <w:pStyle w:val="3"/>
        <w:jc w:val="left"/>
      </w:pPr>
      <w:bookmarkStart w:id="29" w:name="_Toc10319"/>
      <w:r>
        <w:rPr>
          <w:rFonts w:hint="eastAsia" w:ascii="宋体" w:eastAsia="宋体"/>
          <w:b/>
          <w:color w:val="000000"/>
          <w:sz w:val="28"/>
          <w:szCs w:val="28"/>
          <w:shd w:val="clear" w:color="auto" w:fill="FFFFFF"/>
        </w:rPr>
        <w:t>1. 结构质量分布</w:t>
      </w:r>
      <w:bookmarkEnd w:id="29"/>
    </w:p>
    <w:p>
      <w:pPr>
        <w:spacing w:beforeLines="113" w:afterLines="113" w:line="113" w:lineRule="auto"/>
        <w:jc w:val="left"/>
      </w:pPr>
      <w:r>
        <w:rPr>
          <w:rFonts w:hint="eastAsia" w:ascii="楷体" w:eastAsia="楷体"/>
          <w:b/>
          <w:color w:val="0000FF"/>
          <w:sz w:val="24"/>
          <w:szCs w:val="24"/>
          <w:shd w:val="clear" w:color="auto" w:fill="FFFFFF"/>
        </w:rPr>
        <w:t>根据《高规》3.5.6条的规定，楼层质量沿高度宜均匀分布，楼层质量不宜大于相邻下部楼层的1.5倍。结构全部楼层满足规范要求。</w:t>
      </w:r>
    </w:p>
    <w:p>
      <w:pPr>
        <w:spacing w:beforeLines="113" w:afterLines="113" w:line="113" w:lineRule="auto"/>
        <w:jc w:val="center"/>
      </w:pPr>
      <w:r>
        <w:rPr>
          <w:rFonts w:hint="eastAsia" w:ascii="黑体" w:eastAsia="黑体"/>
          <w:b/>
          <w:color w:val="000000"/>
          <w:sz w:val="26"/>
          <w:szCs w:val="26"/>
          <w:shd w:val="clear" w:color="auto" w:fill="FFFFFF"/>
        </w:rPr>
        <w:t>表8-1 质量分布</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1"/>
        <w:gridCol w:w="1663"/>
        <w:gridCol w:w="1482"/>
        <w:gridCol w:w="1482"/>
        <w:gridCol w:w="1482"/>
        <w:gridCol w:w="148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质心X,Y,Z(m)</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恒载质量(t)</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活载质量(t)</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层质量(t)</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质量比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25.81,17.86, 7.60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250.5</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5.6</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256.1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恒载产生的总质量 (t):    250.465</w:t>
      </w:r>
    </w:p>
    <w:p>
      <w:pPr>
        <w:spacing w:beforeLines="113" w:afterLines="113" w:line="113" w:lineRule="auto"/>
        <w:jc w:val="left"/>
      </w:pPr>
      <w:r>
        <w:rPr>
          <w:rFonts w:hint="eastAsia" w:ascii="宋体" w:eastAsia="宋体"/>
          <w:b w:val="0"/>
          <w:color w:val="000000"/>
          <w:sz w:val="24"/>
          <w:szCs w:val="24"/>
          <w:shd w:val="clear" w:color="auto" w:fill="FFFFFF"/>
        </w:rPr>
        <w:t>活载产生的总质量 (t):    5.626</w:t>
      </w:r>
    </w:p>
    <w:p>
      <w:pPr>
        <w:spacing w:beforeLines="113" w:afterLines="113" w:line="113" w:lineRule="auto"/>
        <w:jc w:val="left"/>
      </w:pPr>
      <w:r>
        <w:rPr>
          <w:rFonts w:hint="eastAsia" w:ascii="宋体" w:eastAsia="宋体"/>
          <w:b w:val="0"/>
          <w:color w:val="000000"/>
          <w:sz w:val="24"/>
          <w:szCs w:val="24"/>
          <w:shd w:val="clear" w:color="auto" w:fill="FFFFFF"/>
        </w:rPr>
        <w:t>结构的总质量 (t):        256.091</w:t>
      </w:r>
    </w:p>
    <w:p>
      <w:pPr>
        <w:spacing w:beforeLines="113" w:afterLines="113" w:line="113" w:lineRule="auto"/>
        <w:jc w:val="left"/>
      </w:pPr>
      <w:r>
        <w:rPr>
          <w:rFonts w:hint="eastAsia" w:ascii="宋体" w:eastAsia="宋体"/>
          <w:b w:val="0"/>
          <w:color w:val="000000"/>
          <w:sz w:val="24"/>
          <w:szCs w:val="24"/>
          <w:shd w:val="clear" w:color="auto" w:fill="FFFFFF"/>
        </w:rPr>
        <w:t>恒载产生的总质量包括结构自重和外加恒载</w:t>
      </w:r>
    </w:p>
    <w:p>
      <w:pPr>
        <w:spacing w:beforeLines="113" w:afterLines="113" w:line="113" w:lineRule="auto"/>
        <w:jc w:val="left"/>
      </w:pPr>
      <w:r>
        <w:rPr>
          <w:rFonts w:hint="eastAsia" w:ascii="宋体" w:eastAsia="宋体"/>
          <w:b w:val="0"/>
          <w:color w:val="000000"/>
          <w:sz w:val="24"/>
          <w:szCs w:val="24"/>
          <w:shd w:val="clear" w:color="auto" w:fill="FFFFFF"/>
        </w:rPr>
        <w:t>结构总质量包括恒载、活载产生的质量和附加质量以及自定义工况荷载产生的质量</w:t>
      </w:r>
    </w:p>
    <w:p>
      <w:pPr>
        <w:spacing w:beforeLines="113" w:afterLines="113" w:line="113" w:lineRule="auto"/>
        <w:jc w:val="left"/>
      </w:pPr>
      <w:r>
        <w:rPr>
          <w:rFonts w:hint="eastAsia" w:ascii="宋体" w:eastAsia="宋体"/>
          <w:b w:val="0"/>
          <w:color w:val="000000"/>
          <w:sz w:val="24"/>
          <w:szCs w:val="24"/>
          <w:shd w:val="clear" w:color="auto" w:fill="FFFFFF"/>
        </w:rPr>
        <w:t>活载产生的总质量、自定义工况荷载产生的总质量和结构的总质量是活载折减后的结果 (1t = 1000kg)</w:t>
      </w:r>
    </w:p>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rFonts w:hint="eastAsia" w:ascii="宋体" w:eastAsia="宋体"/>
          <w:b w:val="0"/>
          <w:color w:val="000000"/>
          <w:sz w:val="24"/>
          <w:szCs w:val="24"/>
          <w:shd w:val="clear" w:color="auto" w:fill="FFFFFF"/>
        </w:rPr>
        <w:t>图8-1 恒载,活载,层质量分布曲线</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Pr>
          <w:rFonts w:hint="eastAsia" w:ascii="宋体" w:eastAsia="宋体"/>
          <w:b w:val="0"/>
          <w:color w:val="000000"/>
          <w:sz w:val="24"/>
          <w:szCs w:val="24"/>
          <w:shd w:val="clear" w:color="auto" w:fill="FFFFFF"/>
        </w:rPr>
        <w:t>图8-2 质量比分布曲线</w:t>
      </w:r>
    </w:p>
    <w:p>
      <w:pPr>
        <w:spacing w:beforeLines="113" w:afterLines="113" w:line="113" w:lineRule="auto"/>
        <w:jc w:val="center"/>
      </w:pPr>
    </w:p>
    <w:p>
      <w:pPr>
        <w:pStyle w:val="3"/>
        <w:jc w:val="left"/>
      </w:pPr>
      <w:bookmarkStart w:id="30" w:name="_Toc18920"/>
      <w:r>
        <w:rPr>
          <w:rFonts w:hint="eastAsia" w:ascii="宋体" w:eastAsia="宋体"/>
          <w:b/>
          <w:color w:val="000000"/>
          <w:sz w:val="28"/>
          <w:szCs w:val="28"/>
          <w:shd w:val="clear" w:color="auto" w:fill="FFFFFF"/>
        </w:rPr>
        <w:t>2. 各层刚心、偏心率信息</w:t>
      </w:r>
      <w:bookmarkEnd w:id="30"/>
    </w:p>
    <w:p>
      <w:pPr>
        <w:spacing w:beforeLines="113" w:afterLines="113" w:line="113" w:lineRule="auto"/>
        <w:jc w:val="left"/>
      </w:pPr>
      <w:r>
        <w:rPr>
          <w:rFonts w:hint="eastAsia" w:ascii="宋体" w:eastAsia="宋体"/>
          <w:b/>
          <w:color w:val="8A2BE2"/>
          <w:sz w:val="24"/>
          <w:szCs w:val="24"/>
          <w:shd w:val="clear" w:color="auto" w:fill="FFFFFF"/>
        </w:rPr>
        <w:t xml:space="preserve">Xstif、Ystif(m):    </w:t>
      </w:r>
      <w:r>
        <w:rPr>
          <w:rFonts w:hint="eastAsia" w:ascii="宋体" w:eastAsia="宋体"/>
          <w:b w:val="0"/>
          <w:color w:val="000000"/>
          <w:sz w:val="24"/>
          <w:szCs w:val="24"/>
          <w:shd w:val="clear" w:color="auto" w:fill="FFFFFF"/>
        </w:rPr>
        <w:t>刚心的 X，Y 坐标值</w:t>
      </w:r>
    </w:p>
    <w:p>
      <w:pPr>
        <w:spacing w:beforeLines="113" w:afterLines="113" w:line="113" w:lineRule="auto"/>
        <w:jc w:val="left"/>
      </w:pPr>
      <w:r>
        <w:rPr>
          <w:rFonts w:hint="eastAsia" w:ascii="宋体" w:eastAsia="宋体"/>
          <w:b/>
          <w:color w:val="8A2BE2"/>
          <w:sz w:val="24"/>
          <w:szCs w:val="24"/>
          <w:shd w:val="clear" w:color="auto" w:fill="FFFFFF"/>
        </w:rPr>
        <w:t xml:space="preserve">Alf(Degree):        </w:t>
      </w:r>
      <w:r>
        <w:rPr>
          <w:rFonts w:hint="eastAsia" w:ascii="宋体" w:eastAsia="宋体"/>
          <w:b w:val="0"/>
          <w:color w:val="000000"/>
          <w:sz w:val="24"/>
          <w:szCs w:val="24"/>
          <w:shd w:val="clear" w:color="auto" w:fill="FFFFFF"/>
        </w:rPr>
        <w:t>层刚性主轴的方向</w:t>
      </w:r>
    </w:p>
    <w:p>
      <w:pPr>
        <w:spacing w:beforeLines="113" w:afterLines="113" w:line="113" w:lineRule="auto"/>
        <w:jc w:val="left"/>
      </w:pPr>
      <w:r>
        <w:rPr>
          <w:rFonts w:hint="eastAsia" w:ascii="宋体" w:eastAsia="宋体"/>
          <w:b/>
          <w:color w:val="8A2BE2"/>
          <w:sz w:val="24"/>
          <w:szCs w:val="24"/>
          <w:shd w:val="clear" w:color="auto" w:fill="FFFFFF"/>
        </w:rPr>
        <w:t xml:space="preserve">Eex、Eey:           </w:t>
      </w:r>
      <w:r>
        <w:rPr>
          <w:rFonts w:hint="eastAsia" w:ascii="宋体" w:eastAsia="宋体"/>
          <w:b w:val="0"/>
          <w:color w:val="000000"/>
          <w:sz w:val="24"/>
          <w:szCs w:val="24"/>
          <w:shd w:val="clear" w:color="auto" w:fill="FFFFFF"/>
        </w:rPr>
        <w:t>X，Y 方向的偏心率</w:t>
      </w:r>
    </w:p>
    <w:p>
      <w:pPr>
        <w:spacing w:beforeLines="113" w:afterLines="113" w:line="113" w:lineRule="auto"/>
        <w:jc w:val="center"/>
      </w:pPr>
      <w:r>
        <w:rPr>
          <w:rFonts w:hint="eastAsia" w:ascii="黑体" w:eastAsia="黑体"/>
          <w:b/>
          <w:color w:val="000000"/>
          <w:sz w:val="26"/>
          <w:szCs w:val="26"/>
          <w:shd w:val="clear" w:color="auto" w:fill="FFFFFF"/>
        </w:rPr>
        <w:t>表8-2 各层刚心、偏心率信息</w:t>
      </w:r>
    </w:p>
    <w:tbl>
      <w:tblPr>
        <w:tblStyle w:val="29"/>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60"/>
        <w:gridCol w:w="1360"/>
        <w:gridCol w:w="1361"/>
        <w:gridCol w:w="1361"/>
        <w:gridCol w:w="1361"/>
        <w:gridCol w:w="136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Xstif</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Ystif</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Alf</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Eex</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Eey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25.94</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18.85</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1.41%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8.45%</w:t>
            </w:r>
          </w:p>
        </w:tc>
      </w:tr>
    </w:tbl>
    <w:p>
      <w:pPr>
        <w:spacing w:beforeLines="113" w:afterLines="113" w:line="113" w:lineRule="auto"/>
        <w:jc w:val="left"/>
      </w:pPr>
    </w:p>
    <w:p>
      <w:pPr>
        <w:spacing w:beforeLines="113" w:afterLines="113" w:line="113" w:lineRule="auto"/>
        <w:jc w:val="left"/>
      </w:pPr>
    </w:p>
    <w:p>
      <w:pPr>
        <w:pStyle w:val="16"/>
        <w:jc w:val="center"/>
      </w:pPr>
      <w:bookmarkStart w:id="31" w:name="_Toc31963"/>
      <w:r>
        <w:rPr>
          <w:rFonts w:hint="eastAsia" w:ascii="宋体" w:eastAsia="宋体"/>
          <w:b/>
          <w:color w:val="000000"/>
          <w:sz w:val="32"/>
          <w:szCs w:val="32"/>
          <w:shd w:val="clear" w:color="auto" w:fill="FFFFFF"/>
        </w:rPr>
        <w:t>九. 荷载信息</w:t>
      </w:r>
      <w:bookmarkEnd w:id="31"/>
    </w:p>
    <w:p>
      <w:pPr>
        <w:pStyle w:val="3"/>
        <w:jc w:val="left"/>
      </w:pPr>
      <w:bookmarkStart w:id="32" w:name="_Toc14010"/>
      <w:r>
        <w:rPr>
          <w:rFonts w:hint="eastAsia" w:ascii="宋体" w:eastAsia="宋体"/>
          <w:b/>
          <w:color w:val="000000"/>
          <w:sz w:val="28"/>
          <w:szCs w:val="28"/>
          <w:shd w:val="clear" w:color="auto" w:fill="FFFFFF"/>
        </w:rPr>
        <w:t>1. 风荷载信息</w:t>
      </w:r>
      <w:bookmarkEnd w:id="32"/>
    </w:p>
    <w:p>
      <w:pPr>
        <w:spacing w:beforeLines="113" w:afterLines="113" w:line="113" w:lineRule="auto"/>
        <w:jc w:val="left"/>
      </w:pPr>
      <w:bookmarkStart w:id="33" w:name="X向风"/>
      <w:bookmarkEnd w:id="33"/>
      <w:r>
        <w:rPr>
          <w:rFonts w:hint="eastAsia" w:ascii="宋体" w:eastAsia="宋体"/>
          <w:b w:val="0"/>
          <w:color w:val="000000"/>
          <w:sz w:val="24"/>
          <w:szCs w:val="24"/>
          <w:shd w:val="clear" w:color="auto" w:fill="FFFFFF"/>
        </w:rPr>
        <w:t>风压单位:              kN/m2</w:t>
      </w:r>
    </w:p>
    <w:p>
      <w:pPr>
        <w:spacing w:beforeLines="113" w:afterLines="113" w:line="113" w:lineRule="auto"/>
        <w:jc w:val="left"/>
      </w:pPr>
      <w:r>
        <w:rPr>
          <w:rFonts w:hint="eastAsia" w:ascii="宋体" w:eastAsia="宋体"/>
          <w:b w:val="0"/>
          <w:color w:val="000000"/>
          <w:sz w:val="24"/>
          <w:szCs w:val="24"/>
          <w:shd w:val="clear" w:color="auto" w:fill="FFFFFF"/>
        </w:rPr>
        <w:t>迎风面积单位:          m2</w:t>
      </w:r>
    </w:p>
    <w:p>
      <w:pPr>
        <w:spacing w:beforeLines="113" w:afterLines="113" w:line="113" w:lineRule="auto"/>
        <w:jc w:val="left"/>
      </w:pPr>
      <w:r>
        <w:rPr>
          <w:rFonts w:hint="eastAsia" w:ascii="宋体" w:eastAsia="宋体"/>
          <w:b w:val="0"/>
          <w:color w:val="000000"/>
          <w:sz w:val="24"/>
          <w:szCs w:val="24"/>
          <w:shd w:val="clear" w:color="auto" w:fill="FFFFFF"/>
        </w:rPr>
        <w:t>本层风荷、楼层剪力单位:kN</w:t>
      </w:r>
    </w:p>
    <w:p>
      <w:pPr>
        <w:spacing w:beforeLines="113" w:afterLines="113" w:line="113" w:lineRule="auto"/>
        <w:jc w:val="left"/>
      </w:pPr>
      <w:r>
        <w:rPr>
          <w:rFonts w:hint="eastAsia" w:ascii="宋体" w:eastAsia="宋体"/>
          <w:b w:val="0"/>
          <w:color w:val="000000"/>
          <w:sz w:val="24"/>
          <w:szCs w:val="24"/>
          <w:shd w:val="clear" w:color="auto" w:fill="FFFFFF"/>
        </w:rPr>
        <w:t>楼层弯矩单位:          kN.m</w:t>
      </w:r>
    </w:p>
    <w:p>
      <w:pPr>
        <w:spacing w:beforeLines="113" w:afterLines="113" w:line="113" w:lineRule="auto"/>
        <w:jc w:val="center"/>
      </w:pPr>
      <w:r>
        <w:rPr>
          <w:rFonts w:hint="eastAsia" w:ascii="黑体" w:eastAsia="黑体"/>
          <w:b/>
          <w:color w:val="000000"/>
          <w:sz w:val="26"/>
          <w:szCs w:val="26"/>
          <w:shd w:val="clear" w:color="auto" w:fill="FFFFFF"/>
        </w:rPr>
        <w:t>表9-1 X向风荷载信息</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风振系数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277.6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277.6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2110.1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1.7</w:t>
            </w:r>
          </w:p>
        </w:tc>
      </w:tr>
    </w:tbl>
    <w:p>
      <w:pPr>
        <w:spacing w:beforeLines="113" w:afterLines="113" w:line="113" w:lineRule="auto"/>
        <w:jc w:val="left"/>
      </w:pPr>
    </w:p>
    <w:p>
      <w:pPr>
        <w:spacing w:beforeLines="113" w:afterLines="113" w:line="113" w:lineRule="auto"/>
        <w:jc w:val="center"/>
      </w:pPr>
      <w:bookmarkStart w:id="34" w:name="Y向风"/>
      <w:bookmarkEnd w:id="34"/>
      <w:r>
        <w:rPr>
          <w:rFonts w:hint="eastAsia" w:ascii="黑体" w:eastAsia="黑体"/>
          <w:b/>
          <w:color w:val="000000"/>
          <w:sz w:val="26"/>
          <w:szCs w:val="26"/>
          <w:shd w:val="clear" w:color="auto" w:fill="FFFFFF"/>
        </w:rPr>
        <w:t>表9-2 Y向风荷载信息</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风振系数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782.9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1.8</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rFonts w:hint="eastAsia" w:ascii="宋体" w:eastAsia="宋体"/>
          <w:b w:val="0"/>
          <w:color w:val="000000"/>
          <w:sz w:val="24"/>
          <w:szCs w:val="24"/>
          <w:shd w:val="clear" w:color="auto" w:fill="FFFFFF"/>
        </w:rPr>
        <w:t>图9-1 顺风向楼层剪力简图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Pr>
          <w:rFonts w:hint="eastAsia" w:ascii="宋体" w:eastAsia="宋体"/>
          <w:b w:val="0"/>
          <w:color w:val="000000"/>
          <w:sz w:val="24"/>
          <w:szCs w:val="24"/>
          <w:shd w:val="clear" w:color="auto" w:fill="FFFFFF"/>
        </w:rPr>
        <w:t>图9-2 顺风向楼层弯矩简图</w:t>
      </w:r>
    </w:p>
    <w:p>
      <w:pPr>
        <w:spacing w:beforeLines="113" w:afterLines="113" w:line="113" w:lineRule="auto"/>
        <w:jc w:val="center"/>
      </w:pPr>
    </w:p>
    <w:p>
      <w:pPr>
        <w:pStyle w:val="16"/>
        <w:jc w:val="center"/>
      </w:pPr>
      <w:bookmarkStart w:id="35" w:name="_Toc810"/>
      <w:r>
        <w:rPr>
          <w:rFonts w:hint="eastAsia" w:ascii="宋体" w:eastAsia="宋体"/>
          <w:b/>
          <w:color w:val="000000"/>
          <w:sz w:val="32"/>
          <w:szCs w:val="32"/>
          <w:shd w:val="clear" w:color="auto" w:fill="FFFFFF"/>
        </w:rPr>
        <w:t>十. 立面规则性</w:t>
      </w:r>
      <w:bookmarkEnd w:id="35"/>
    </w:p>
    <w:p>
      <w:pPr>
        <w:pStyle w:val="3"/>
        <w:jc w:val="left"/>
      </w:pPr>
      <w:bookmarkStart w:id="36" w:name="_Toc6438"/>
      <w:r>
        <w:rPr>
          <w:rFonts w:hint="eastAsia" w:ascii="宋体" w:eastAsia="宋体"/>
          <w:b/>
          <w:color w:val="000000"/>
          <w:sz w:val="28"/>
          <w:szCs w:val="28"/>
          <w:shd w:val="clear" w:color="auto" w:fill="FFFFFF"/>
        </w:rPr>
        <w:t>1. 楼层侧向剪切刚度</w:t>
      </w:r>
      <w:bookmarkEnd w:id="36"/>
    </w:p>
    <w:p>
      <w:pPr>
        <w:spacing w:beforeLines="113" w:afterLines="113" w:line="113" w:lineRule="auto"/>
        <w:jc w:val="left"/>
      </w:pPr>
      <w:r>
        <w:rPr>
          <w:rFonts w:hint="eastAsia" w:ascii="宋体" w:eastAsia="宋体"/>
          <w:b/>
          <w:color w:val="8A2BE2"/>
          <w:sz w:val="24"/>
          <w:szCs w:val="24"/>
          <w:shd w:val="clear" w:color="auto" w:fill="FFFFFF"/>
        </w:rPr>
        <w:t xml:space="preserve">Ratx，Raty(刚度比):   </w:t>
      </w:r>
      <w:r>
        <w:rPr>
          <w:rFonts w:hint="eastAsia" w:ascii="宋体" w:eastAsia="宋体"/>
          <w:b w:val="0"/>
          <w:color w:val="000000"/>
          <w:sz w:val="24"/>
          <w:szCs w:val="24"/>
          <w:shd w:val="clear" w:color="auto" w:fill="FFFFFF"/>
        </w:rPr>
        <w:t xml:space="preserve"> X，Y 方向本层塔剪切刚度与下一层相应塔剪切刚度的比值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结构总体坐标系中塔的剪切刚度</w:t>
      </w:r>
    </w:p>
    <w:p>
      <w:pPr>
        <w:spacing w:beforeLines="113" w:afterLines="113" w:line="113" w:lineRule="auto"/>
        <w:jc w:val="center"/>
      </w:pPr>
      <w:r>
        <w:rPr>
          <w:rFonts w:hint="eastAsia" w:ascii="黑体" w:eastAsia="黑体"/>
          <w:b/>
          <w:color w:val="000000"/>
          <w:sz w:val="26"/>
          <w:szCs w:val="26"/>
          <w:shd w:val="clear" w:color="auto" w:fill="FFFFFF"/>
        </w:rPr>
        <w:t>表10-1 楼层侧向剪切刚度及刚度比</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51165.95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34251.59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Pr>
          <w:rFonts w:hint="eastAsia" w:ascii="宋体" w:eastAsia="宋体"/>
          <w:b w:val="0"/>
          <w:color w:val="000000"/>
          <w:sz w:val="24"/>
          <w:szCs w:val="24"/>
          <w:shd w:val="clear" w:color="auto" w:fill="FFFFFF"/>
        </w:rPr>
        <w:t>图10-1 多方向刚度简图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Pr>
          <w:rFonts w:hint="eastAsia" w:ascii="宋体" w:eastAsia="宋体"/>
          <w:b w:val="0"/>
          <w:color w:val="000000"/>
          <w:sz w:val="24"/>
          <w:szCs w:val="24"/>
          <w:shd w:val="clear" w:color="auto" w:fill="FFFFFF"/>
        </w:rPr>
        <w:t>图10-2 多方向刚度比简图</w:t>
      </w:r>
    </w:p>
    <w:p>
      <w:pPr>
        <w:spacing w:beforeLines="113" w:afterLines="113" w:line="113" w:lineRule="auto"/>
        <w:jc w:val="center"/>
      </w:pPr>
    </w:p>
    <w:p>
      <w:pPr>
        <w:pStyle w:val="3"/>
        <w:jc w:val="left"/>
      </w:pPr>
      <w:bookmarkStart w:id="37" w:name="_Toc26873"/>
      <w:r>
        <w:rPr>
          <w:rFonts w:hint="eastAsia" w:ascii="宋体" w:eastAsia="宋体"/>
          <w:b/>
          <w:color w:val="000000"/>
          <w:sz w:val="28"/>
          <w:szCs w:val="28"/>
          <w:shd w:val="clear" w:color="auto" w:fill="FFFFFF"/>
        </w:rPr>
        <w:t>2. 楼层侧向剪弯刚度</w:t>
      </w:r>
      <w:bookmarkEnd w:id="37"/>
    </w:p>
    <w:p>
      <w:pPr>
        <w:spacing w:beforeLines="113" w:afterLines="113" w:line="113" w:lineRule="auto"/>
        <w:jc w:val="left"/>
      </w:pPr>
      <w:r>
        <w:rPr>
          <w:rFonts w:hint="eastAsia" w:ascii="宋体" w:eastAsia="宋体"/>
          <w:b/>
          <w:color w:val="8A2BE2"/>
          <w:sz w:val="24"/>
          <w:szCs w:val="24"/>
          <w:shd w:val="clear" w:color="auto" w:fill="FFFFFF"/>
        </w:rPr>
        <w:t xml:space="preserve">Ratx，Raty(刚度比):   </w:t>
      </w:r>
      <w:r>
        <w:rPr>
          <w:rFonts w:hint="eastAsia" w:ascii="宋体" w:eastAsia="宋体"/>
          <w:b w:val="0"/>
          <w:color w:val="000000"/>
          <w:sz w:val="24"/>
          <w:szCs w:val="24"/>
          <w:shd w:val="clear" w:color="auto" w:fill="FFFFFF"/>
        </w:rPr>
        <w:t>X，Y 方向本层塔剪弯刚度与下一层相应塔剪弯刚度的比值</w:t>
      </w:r>
    </w:p>
    <w:p>
      <w:pPr>
        <w:spacing w:beforeLines="113" w:afterLines="113" w:line="113" w:lineRule="auto"/>
        <w:jc w:val="center"/>
      </w:pPr>
      <w:r>
        <w:rPr>
          <w:rFonts w:hint="eastAsia" w:ascii="黑体" w:eastAsia="黑体"/>
          <w:b/>
          <w:color w:val="000000"/>
          <w:sz w:val="26"/>
          <w:szCs w:val="26"/>
          <w:shd w:val="clear" w:color="auto" w:fill="FFFFFF"/>
        </w:rPr>
        <w:t>表10-2 楼层侧向剪弯刚度比</w:t>
      </w:r>
    </w:p>
    <w:tbl>
      <w:tblPr>
        <w:tblStyle w:val="29"/>
        <w:tblW w:w="362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Ratx </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rFonts w:hint="eastAsia" w:ascii="宋体" w:eastAsia="宋体"/>
          <w:b w:val="0"/>
          <w:color w:val="000000"/>
          <w:sz w:val="24"/>
          <w:szCs w:val="24"/>
          <w:shd w:val="clear" w:color="auto" w:fill="FFFFFF"/>
        </w:rPr>
        <w:t>图10-3 多方向刚度比简图</w:t>
      </w:r>
    </w:p>
    <w:p>
      <w:pPr>
        <w:spacing w:beforeLines="113" w:afterLines="113" w:line="113" w:lineRule="auto"/>
        <w:jc w:val="center"/>
      </w:pPr>
    </w:p>
    <w:p>
      <w:pPr>
        <w:pStyle w:val="3"/>
        <w:jc w:val="left"/>
      </w:pPr>
      <w:bookmarkStart w:id="38" w:name="_Toc30999"/>
      <w:r>
        <w:rPr>
          <w:rFonts w:hint="eastAsia" w:ascii="宋体" w:eastAsia="宋体"/>
          <w:b/>
          <w:color w:val="000000"/>
          <w:sz w:val="28"/>
          <w:szCs w:val="28"/>
          <w:shd w:val="clear" w:color="auto" w:fill="FFFFFF"/>
        </w:rPr>
        <w:t>3. [楼层剪力/层间位移]刚度</w:t>
      </w:r>
      <w:bookmarkEnd w:id="38"/>
    </w:p>
    <w:p>
      <w:pPr>
        <w:spacing w:beforeLines="113" w:afterLines="113" w:line="113" w:lineRule="auto"/>
        <w:jc w:val="left"/>
      </w:pPr>
    </w:p>
    <w:p>
      <w:pPr>
        <w:jc w:val="left"/>
      </w:pPr>
      <w:r>
        <w:rPr>
          <w:rFonts w:hint="eastAsia" w:ascii="楷体" w:eastAsia="楷体"/>
          <w:b/>
          <w:color w:val="0000FF"/>
          <w:sz w:val="24"/>
          <w:szCs w:val="24"/>
          <w:shd w:val="clear" w:color="auto" w:fill="FFFFFF"/>
        </w:rPr>
        <w:t>《高规》3.5.2-1条规定：对框架结构,楼层与其相邻上层的侧向刚度比，本层与相邻上层的比值不宜小于0.7，与相邻上部三层刚度平均值的比值不宜小于0.8。结构并无侧向刚度不规则的情况。</w:t>
      </w:r>
    </w:p>
    <w:p>
      <w:pPr>
        <w:spacing w:beforeLines="113" w:afterLines="113" w:line="113" w:lineRule="auto"/>
        <w:jc w:val="left"/>
      </w:pPr>
      <w:r>
        <w:rPr>
          <w:rFonts w:hint="eastAsia" w:ascii="宋体" w:eastAsia="宋体"/>
          <w:b/>
          <w:color w:val="8A2BE2"/>
          <w:sz w:val="24"/>
          <w:szCs w:val="24"/>
          <w:shd w:val="clear" w:color="auto" w:fill="FFFFFF"/>
        </w:rPr>
        <w:t>Ratx1，Raty1(刚度比1):</w:t>
      </w:r>
      <w:r>
        <w:rPr>
          <w:rFonts w:hint="eastAsia" w:ascii="宋体" w:eastAsia="宋体"/>
          <w:b w:val="0"/>
          <w:color w:val="000000"/>
          <w:sz w:val="24"/>
          <w:szCs w:val="24"/>
          <w:shd w:val="clear" w:color="auto" w:fill="FFFFFF"/>
        </w:rPr>
        <w:t>X、Y 方向本层塔侧移刚度与上一层相应塔侧移刚度70%的比值或上三层平均侧移刚度80%的比值中之较小值(按抗规3.4.3;高规3.5.2-1)</w:t>
      </w:r>
    </w:p>
    <w:p>
      <w:pPr>
        <w:spacing w:beforeLines="113" w:afterLines="113" w:line="113" w:lineRule="auto"/>
        <w:jc w:val="left"/>
      </w:pPr>
      <w:r>
        <w:rPr>
          <w:rFonts w:hint="eastAsia" w:ascii="宋体" w:eastAsia="宋体"/>
          <w:b/>
          <w:color w:val="8A2BE2"/>
          <w:sz w:val="24"/>
          <w:szCs w:val="24"/>
          <w:shd w:val="clear" w:color="auto" w:fill="FFFFFF"/>
        </w:rPr>
        <w:t xml:space="preserve">Rat2_min:             </w:t>
      </w:r>
      <w:r>
        <w:rPr>
          <w:rFonts w:hint="eastAsia" w:ascii="宋体" w:eastAsia="宋体"/>
          <w:b w:val="0"/>
          <w:color w:val="000000"/>
          <w:sz w:val="24"/>
          <w:szCs w:val="24"/>
          <w:shd w:val="clear" w:color="auto" w:fill="FFFFFF"/>
        </w:rPr>
        <w:t>按刚度比2判断的限值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结构总体坐标系中塔的侧移刚度</w:t>
      </w:r>
    </w:p>
    <w:p>
      <w:pPr>
        <w:spacing w:beforeLines="113" w:afterLines="113" w:line="113" w:lineRule="auto"/>
        <w:jc w:val="center"/>
      </w:pPr>
      <w:r>
        <w:rPr>
          <w:rFonts w:hint="eastAsia" w:ascii="黑体" w:eastAsia="黑体"/>
          <w:b/>
          <w:color w:val="000000"/>
          <w:sz w:val="26"/>
          <w:szCs w:val="26"/>
          <w:shd w:val="clear" w:color="auto" w:fill="FFFFFF"/>
        </w:rPr>
        <w:t>表10-3 楼层刚度及刚度比</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Ratx1</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35707.31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26636.46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Pr>
          <w:rFonts w:hint="eastAsia" w:ascii="宋体" w:eastAsia="宋体"/>
          <w:b w:val="0"/>
          <w:color w:val="000000"/>
          <w:sz w:val="24"/>
          <w:szCs w:val="24"/>
          <w:shd w:val="clear" w:color="auto" w:fill="FFFFFF"/>
        </w:rPr>
        <w:t>图10-4 多方向刚度简图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Pr>
          <w:rFonts w:hint="eastAsia" w:ascii="宋体" w:eastAsia="宋体"/>
          <w:b w:val="0"/>
          <w:color w:val="000000"/>
          <w:sz w:val="24"/>
          <w:szCs w:val="24"/>
          <w:shd w:val="clear" w:color="auto" w:fill="FFFFFF"/>
        </w:rPr>
        <w:t>图10-5 多方向刚度比1简图</w:t>
      </w:r>
    </w:p>
    <w:p>
      <w:pPr>
        <w:spacing w:beforeLines="113" w:afterLines="113" w:line="113" w:lineRule="auto"/>
        <w:jc w:val="center"/>
      </w:pPr>
    </w:p>
    <w:p>
      <w:pPr>
        <w:pStyle w:val="3"/>
        <w:jc w:val="left"/>
      </w:pPr>
      <w:bookmarkStart w:id="39" w:name="_Toc27434"/>
      <w:r>
        <w:rPr>
          <w:rFonts w:hint="eastAsia" w:ascii="宋体" w:eastAsia="宋体"/>
          <w:b/>
          <w:color w:val="000000"/>
          <w:sz w:val="28"/>
          <w:szCs w:val="28"/>
          <w:shd w:val="clear" w:color="auto" w:fill="FFFFFF"/>
        </w:rPr>
        <w:t>4. 各楼层受剪承载力</w:t>
      </w:r>
      <w:bookmarkEnd w:id="39"/>
    </w:p>
    <w:p>
      <w:pPr>
        <w:spacing w:beforeLines="113" w:afterLines="113" w:line="113" w:lineRule="auto"/>
        <w:jc w:val="left"/>
      </w:pPr>
      <w:r>
        <w:rPr>
          <w:rFonts w:hint="eastAsia" w:ascii="楷体" w:eastAsia="楷体"/>
          <w:b/>
          <w:color w:val="0000FF"/>
          <w:sz w:val="24"/>
          <w:szCs w:val="24"/>
          <w:shd w:val="clear" w:color="auto" w:fill="FFFFFF"/>
        </w:rPr>
        <w:t>《高规》3.5.3条规定:A级高度高层建筑的楼层抗侧力结构的层间受剪承载力不宜小于其相邻上一层受剪承载力的80%,不应小于其相邻上一层受剪承载力的65%;B级高度高层建筑的楼层抗侧力结构的层间受剪承载力不应小于其相邻上一层受剪承载力的75%。</w:t>
      </w:r>
    </w:p>
    <w:p>
      <w:pPr>
        <w:spacing w:beforeLines="113" w:afterLines="113" w:line="113" w:lineRule="auto"/>
        <w:jc w:val="left"/>
      </w:pPr>
      <w:r>
        <w:rPr>
          <w:rFonts w:hint="eastAsia" w:ascii="楷体" w:eastAsia="楷体"/>
          <w:b/>
          <w:color w:val="0000FF"/>
          <w:sz w:val="24"/>
          <w:szCs w:val="24"/>
          <w:shd w:val="clear" w:color="auto" w:fill="FFFFFF"/>
        </w:rPr>
        <w:t>结构设定的限值是80.00%。并无楼层承载力突变的情况</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Vx(kN)、Vy(kN):   </w:t>
      </w:r>
      <w:r>
        <w:rPr>
          <w:rFonts w:hint="eastAsia" w:ascii="宋体" w:eastAsia="宋体"/>
          <w:b w:val="0"/>
          <w:color w:val="000000"/>
          <w:sz w:val="24"/>
          <w:szCs w:val="24"/>
          <w:shd w:val="clear" w:color="auto" w:fill="FFFFFF"/>
        </w:rPr>
        <w:t>楼层受剪承载力(X、Y方向)</w:t>
      </w:r>
    </w:p>
    <w:p>
      <w:pPr>
        <w:spacing w:beforeLines="113" w:afterLines="113" w:line="113" w:lineRule="auto"/>
        <w:jc w:val="left"/>
      </w:pPr>
      <w:r>
        <w:rPr>
          <w:rFonts w:hint="eastAsia" w:ascii="宋体" w:eastAsia="宋体"/>
          <w:b/>
          <w:color w:val="8A2BE2"/>
          <w:sz w:val="24"/>
          <w:szCs w:val="24"/>
          <w:shd w:val="clear" w:color="auto" w:fill="FFFFFF"/>
        </w:rPr>
        <w:t xml:space="preserve">Vx/Vxp、Vy/Vyp:   </w:t>
      </w:r>
      <w:r>
        <w:rPr>
          <w:rFonts w:hint="eastAsia" w:ascii="宋体" w:eastAsia="宋体"/>
          <w:b w:val="0"/>
          <w:color w:val="000000"/>
          <w:sz w:val="24"/>
          <w:szCs w:val="24"/>
          <w:shd w:val="clear" w:color="auto" w:fill="FFFFFF"/>
        </w:rPr>
        <w:t>本层与上层楼层承载力的比值(X,Y方向)</w:t>
      </w:r>
    </w:p>
    <w:p>
      <w:pPr>
        <w:spacing w:beforeLines="113" w:afterLines="113" w:line="113" w:lineRule="auto"/>
        <w:jc w:val="center"/>
      </w:pPr>
      <w:r>
        <w:rPr>
          <w:rFonts w:hint="eastAsia" w:ascii="黑体" w:eastAsia="黑体"/>
          <w:b/>
          <w:color w:val="000000"/>
          <w:sz w:val="26"/>
          <w:szCs w:val="26"/>
          <w:shd w:val="clear" w:color="auto" w:fill="FFFFFF"/>
        </w:rPr>
        <w:t>表10-4 各楼层受剪承载力及承载力比值</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09"/>
        <w:gridCol w:w="1210"/>
        <w:gridCol w:w="1210"/>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Vx/Vxp</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Vy/Vyp</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比值判断</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1081.24</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514.99</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r>
    </w:tbl>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Pr>
          <w:rFonts w:hint="eastAsia" w:ascii="宋体" w:eastAsia="宋体"/>
          <w:b w:val="0"/>
          <w:color w:val="000000"/>
          <w:sz w:val="24"/>
          <w:szCs w:val="24"/>
          <w:shd w:val="clear" w:color="auto" w:fill="FFFFFF"/>
        </w:rPr>
        <w:t>图10-6 多方向受剪承载力比简图</w:t>
      </w:r>
    </w:p>
    <w:p>
      <w:pPr>
        <w:spacing w:beforeLines="113" w:afterLines="113" w:line="113" w:lineRule="auto"/>
        <w:jc w:val="center"/>
      </w:pPr>
    </w:p>
    <w:p>
      <w:pPr>
        <w:pStyle w:val="3"/>
        <w:jc w:val="left"/>
      </w:pPr>
      <w:bookmarkStart w:id="40" w:name="_Toc2587"/>
      <w:r>
        <w:rPr>
          <w:rFonts w:hint="eastAsia" w:ascii="宋体" w:eastAsia="宋体"/>
          <w:b/>
          <w:color w:val="000000"/>
          <w:sz w:val="28"/>
          <w:szCs w:val="28"/>
          <w:shd w:val="clear" w:color="auto" w:fill="FFFFFF"/>
        </w:rPr>
        <w:t>5. 楼层薄弱层调整系数</w:t>
      </w:r>
      <w:bookmarkEnd w:id="40"/>
    </w:p>
    <w:p>
      <w:pPr>
        <w:spacing w:beforeLines="113" w:afterLines="113" w:line="113" w:lineRule="auto"/>
        <w:jc w:val="left"/>
      </w:pPr>
      <w:r>
        <w:rPr>
          <w:rFonts w:hint="eastAsia" w:ascii="宋体" w:eastAsia="宋体"/>
          <w:b/>
          <w:color w:val="8A2BE2"/>
          <w:sz w:val="24"/>
          <w:szCs w:val="24"/>
          <w:shd w:val="clear" w:color="auto" w:fill="FFFFFF"/>
        </w:rPr>
        <w:t>用户指定的薄弱层:</w:t>
      </w:r>
      <w:r>
        <w:rPr>
          <w:rFonts w:hint="eastAsia" w:ascii="宋体" w:eastAsia="宋体"/>
          <w:b w:val="0"/>
          <w:color w:val="000000"/>
          <w:sz w:val="24"/>
          <w:szCs w:val="24"/>
          <w:shd w:val="clear" w:color="auto" w:fill="FFFFFF"/>
        </w:rPr>
        <w:t>在参数及多塔定义中指定的薄弱层</w:t>
      </w:r>
    </w:p>
    <w:p>
      <w:pPr>
        <w:spacing w:beforeLines="113" w:afterLines="113" w:line="113" w:lineRule="auto"/>
        <w:jc w:val="left"/>
      </w:pPr>
      <w:r>
        <w:rPr>
          <w:rFonts w:hint="eastAsia" w:ascii="宋体" w:eastAsia="宋体"/>
          <w:b/>
          <w:color w:val="8A2BE2"/>
          <w:sz w:val="24"/>
          <w:szCs w:val="24"/>
          <w:shd w:val="clear" w:color="auto" w:fill="FFFFFF"/>
        </w:rPr>
        <w:t xml:space="preserve">软弱层:          </w:t>
      </w:r>
      <w:r>
        <w:rPr>
          <w:rFonts w:hint="eastAsia" w:ascii="宋体" w:eastAsia="宋体"/>
          <w:b w:val="0"/>
          <w:color w:val="000000"/>
          <w:sz w:val="24"/>
          <w:szCs w:val="24"/>
          <w:shd w:val="clear" w:color="auto" w:fill="FFFFFF"/>
        </w:rPr>
        <w:t>刚度比不满足规范要求的楼层</w:t>
      </w:r>
    </w:p>
    <w:p>
      <w:pPr>
        <w:spacing w:beforeLines="113" w:afterLines="113" w:line="113" w:lineRule="auto"/>
        <w:jc w:val="left"/>
      </w:pPr>
      <w:r>
        <w:rPr>
          <w:rFonts w:hint="eastAsia" w:ascii="宋体" w:eastAsia="宋体"/>
          <w:b w:val="0"/>
          <w:color w:val="000000"/>
          <w:sz w:val="24"/>
          <w:szCs w:val="24"/>
          <w:shd w:val="clear" w:color="auto" w:fill="FFFFFF"/>
        </w:rPr>
        <w:t xml:space="preserve">                 (刚度比判断方式: 抗规和高规从严判断)</w:t>
      </w:r>
    </w:p>
    <w:p>
      <w:pPr>
        <w:spacing w:beforeLines="113" w:afterLines="113" w:line="113" w:lineRule="auto"/>
        <w:jc w:val="left"/>
      </w:pPr>
      <w:r>
        <w:rPr>
          <w:rFonts w:hint="eastAsia" w:ascii="宋体" w:eastAsia="宋体"/>
          <w:b w:val="0"/>
          <w:color w:val="000000"/>
          <w:sz w:val="24"/>
          <w:szCs w:val="24"/>
          <w:shd w:val="clear" w:color="auto" w:fill="FFFFFF"/>
        </w:rPr>
        <w:t xml:space="preserve">                   (软弱层判断原则: “楼层剪力/层间位移”刚度的刚度比1)</w:t>
      </w:r>
    </w:p>
    <w:p>
      <w:pPr>
        <w:spacing w:beforeLines="113" w:afterLines="113" w:line="113" w:lineRule="auto"/>
        <w:jc w:val="left"/>
      </w:pPr>
      <w:r>
        <w:rPr>
          <w:rFonts w:hint="eastAsia" w:ascii="宋体" w:eastAsia="宋体"/>
          <w:b/>
          <w:color w:val="8A2BE2"/>
          <w:sz w:val="24"/>
          <w:szCs w:val="24"/>
          <w:shd w:val="clear" w:color="auto" w:fill="FFFFFF"/>
        </w:rPr>
        <w:t xml:space="preserve">薄弱层:          </w:t>
      </w:r>
      <w:r>
        <w:rPr>
          <w:rFonts w:hint="eastAsia" w:ascii="宋体" w:eastAsia="宋体"/>
          <w:b w:val="0"/>
          <w:color w:val="000000"/>
          <w:sz w:val="24"/>
          <w:szCs w:val="24"/>
          <w:shd w:val="clear" w:color="auto" w:fill="FFFFFF"/>
        </w:rPr>
        <w:t>受剪承载力不满足规范要求的楼层</w:t>
      </w:r>
    </w:p>
    <w:p>
      <w:pPr>
        <w:spacing w:beforeLines="113" w:afterLines="113" w:line="113" w:lineRule="auto"/>
        <w:jc w:val="left"/>
      </w:pPr>
      <w:r>
        <w:rPr>
          <w:rFonts w:hint="eastAsia" w:ascii="宋体" w:eastAsia="宋体"/>
          <w:b/>
          <w:color w:val="8A2BE2"/>
          <w:sz w:val="24"/>
          <w:szCs w:val="24"/>
          <w:shd w:val="clear" w:color="auto" w:fill="FFFFFF"/>
        </w:rPr>
        <w:t xml:space="preserve">C_def:           </w:t>
      </w:r>
      <w:r>
        <w:rPr>
          <w:rFonts w:hint="eastAsia" w:ascii="宋体" w:eastAsia="宋体"/>
          <w:b w:val="0"/>
          <w:color w:val="000000"/>
          <w:sz w:val="24"/>
          <w:szCs w:val="24"/>
          <w:shd w:val="clear" w:color="auto" w:fill="FFFFFF"/>
        </w:rPr>
        <w:t>默认的薄弱层调整系数(综合以上三项判断得到)</w:t>
      </w:r>
    </w:p>
    <w:p>
      <w:pPr>
        <w:spacing w:beforeLines="113" w:afterLines="113" w:line="113" w:lineRule="auto"/>
        <w:jc w:val="left"/>
      </w:pPr>
      <w:r>
        <w:rPr>
          <w:rFonts w:hint="eastAsia" w:ascii="宋体" w:eastAsia="宋体"/>
          <w:b/>
          <w:color w:val="8A2BE2"/>
          <w:sz w:val="24"/>
          <w:szCs w:val="24"/>
          <w:shd w:val="clear" w:color="auto" w:fill="FFFFFF"/>
        </w:rPr>
        <w:t xml:space="preserve">C_user:          </w:t>
      </w:r>
      <w:r>
        <w:rPr>
          <w:rFonts w:hint="eastAsia" w:ascii="宋体" w:eastAsia="宋体"/>
          <w:b w:val="0"/>
          <w:color w:val="000000"/>
          <w:sz w:val="24"/>
          <w:szCs w:val="24"/>
          <w:shd w:val="clear" w:color="auto" w:fill="FFFFFF"/>
        </w:rPr>
        <w:t>用户定义的薄弱层调整系数</w:t>
      </w:r>
    </w:p>
    <w:p>
      <w:pPr>
        <w:spacing w:beforeLines="113" w:afterLines="113" w:line="113" w:lineRule="auto"/>
        <w:jc w:val="left"/>
      </w:pPr>
      <w:r>
        <w:rPr>
          <w:rFonts w:hint="eastAsia" w:ascii="宋体" w:eastAsia="宋体"/>
          <w:b/>
          <w:color w:val="8A2BE2"/>
          <w:sz w:val="24"/>
          <w:szCs w:val="24"/>
          <w:shd w:val="clear" w:color="auto" w:fill="FFFFFF"/>
        </w:rPr>
        <w:t xml:space="preserve">C_final:         </w:t>
      </w:r>
      <w:r>
        <w:rPr>
          <w:rFonts w:hint="eastAsia" w:ascii="宋体" w:eastAsia="宋体"/>
          <w:b w:val="0"/>
          <w:color w:val="000000"/>
          <w:sz w:val="24"/>
          <w:szCs w:val="24"/>
          <w:shd w:val="clear" w:color="auto" w:fill="FFFFFF"/>
        </w:rPr>
        <w:t>程序综合判断最终采用的薄弱层调整系数</w:t>
      </w:r>
    </w:p>
    <w:p>
      <w:pPr>
        <w:spacing w:beforeLines="113" w:afterLines="113" w:line="113" w:lineRule="auto"/>
        <w:jc w:val="center"/>
      </w:pPr>
      <w:r>
        <w:rPr>
          <w:rFonts w:hint="eastAsia" w:ascii="黑体" w:eastAsia="黑体"/>
          <w:b/>
          <w:color w:val="000000"/>
          <w:sz w:val="26"/>
          <w:szCs w:val="26"/>
          <w:shd w:val="clear" w:color="auto" w:fill="FFFFFF"/>
        </w:rPr>
        <w:t>表10-5 薄弱层调整系数</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34"/>
        <w:gridCol w:w="1134"/>
        <w:gridCol w:w="1134"/>
        <w:gridCol w:w="1134"/>
        <w:gridCol w:w="1134"/>
        <w:gridCol w:w="1134"/>
        <w:gridCol w:w="113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用户指定薄弱层</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软弱层</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C_def</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C_user</w:t>
            </w:r>
          </w:p>
        </w:tc>
        <w:tc>
          <w:tcPr>
            <w:tcW w:w="113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C_final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X,Y</w:t>
            </w:r>
          </w:p>
        </w:tc>
        <w:tc>
          <w:tcPr>
            <w:tcW w:w="1134" w:type="dxa"/>
            <w:shd w:val="clear" w:color="auto" w:fill="FFFFFF"/>
            <w:vAlign w:val="center"/>
          </w:tcPr>
          <w:p>
            <w:pPr>
              <w:jc w:val="center"/>
            </w:pPr>
          </w:p>
        </w:tc>
        <w:tc>
          <w:tcPr>
            <w:tcW w:w="1134" w:type="dxa"/>
            <w:shd w:val="clear" w:color="auto" w:fill="FFFFFF"/>
            <w:vAlign w:val="center"/>
          </w:tcPr>
          <w:p>
            <w:pPr>
              <w:jc w:val="center"/>
            </w:pPr>
          </w:p>
        </w:tc>
        <w:tc>
          <w:tcPr>
            <w:tcW w:w="1134" w:type="dxa"/>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pStyle w:val="16"/>
        <w:jc w:val="center"/>
      </w:pPr>
      <w:bookmarkStart w:id="41" w:name="_Toc30841"/>
      <w:r>
        <w:rPr>
          <w:rFonts w:hint="eastAsia" w:ascii="宋体" w:eastAsia="宋体"/>
          <w:b/>
          <w:color w:val="000000"/>
          <w:sz w:val="32"/>
          <w:szCs w:val="32"/>
          <w:shd w:val="clear" w:color="auto" w:fill="FFFFFF"/>
        </w:rPr>
        <w:t>十一. 抗震分析及调整</w:t>
      </w:r>
      <w:bookmarkEnd w:id="41"/>
    </w:p>
    <w:p>
      <w:pPr>
        <w:pStyle w:val="3"/>
        <w:jc w:val="left"/>
      </w:pPr>
      <w:bookmarkStart w:id="42" w:name="_Toc3007"/>
      <w:r>
        <w:rPr>
          <w:rFonts w:hint="eastAsia" w:ascii="宋体" w:eastAsia="宋体"/>
          <w:b/>
          <w:color w:val="000000"/>
          <w:sz w:val="28"/>
          <w:szCs w:val="28"/>
          <w:shd w:val="clear" w:color="auto" w:fill="FFFFFF"/>
        </w:rPr>
        <w:t>1. 结构周期及振型方向</w:t>
      </w:r>
      <w:bookmarkEnd w:id="42"/>
    </w:p>
    <w:p>
      <w:pPr>
        <w:spacing w:beforeLines="113" w:afterLines="113" w:line="113" w:lineRule="auto"/>
        <w:jc w:val="left"/>
      </w:pPr>
      <w:r>
        <w:rPr>
          <w:rFonts w:hint="eastAsia" w:ascii="宋体" w:eastAsia="宋体"/>
          <w:b w:val="0"/>
          <w:color w:val="000000"/>
          <w:sz w:val="24"/>
          <w:szCs w:val="24"/>
          <w:shd w:val="clear" w:color="auto" w:fill="FFFFFF"/>
        </w:rPr>
        <w:t>地震作用的最不利方向角: -89.82度</w:t>
      </w:r>
    </w:p>
    <w:p>
      <w:pPr>
        <w:spacing w:beforeLines="113" w:afterLines="113" w:line="113" w:lineRule="auto"/>
        <w:jc w:val="center"/>
      </w:pPr>
      <w:r>
        <w:rPr>
          <w:rFonts w:hint="eastAsia" w:ascii="黑体" w:eastAsia="黑体"/>
          <w:b/>
          <w:color w:val="000000"/>
          <w:sz w:val="26"/>
          <w:szCs w:val="26"/>
          <w:shd w:val="clear" w:color="auto" w:fill="FFFFFF"/>
        </w:rPr>
        <w:t>表11-1 结构周期及振型方向</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1008"/>
        <w:gridCol w:w="1008"/>
        <w:gridCol w:w="1008"/>
        <w:gridCol w:w="1008"/>
        <w:gridCol w:w="1008"/>
        <w:gridCol w:w="1008"/>
        <w:gridCol w:w="1008"/>
        <w:gridCol w:w="100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63"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周期(s)</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方向角(度)</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扭振成份</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X侧振成份</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Y侧振成份</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总侧振成份</w:t>
            </w:r>
          </w:p>
        </w:tc>
        <w:tc>
          <w:tcPr>
            <w:tcW w:w="96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阻尼比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0.6161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90.43</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0.5277</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0.86</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89%</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89%</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0.4580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176.84</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89%</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bl>
    <w:p>
      <w:pPr>
        <w:spacing w:beforeLines="113" w:afterLines="113" w:line="113" w:lineRule="auto"/>
        <w:jc w:val="left"/>
      </w:pPr>
    </w:p>
    <w:p>
      <w:pPr>
        <w:spacing w:beforeLines="113" w:afterLines="113" w:line="113" w:lineRule="auto"/>
        <w:jc w:val="center"/>
      </w:pPr>
    </w:p>
    <w:p>
      <w:pPr>
        <w:spacing w:beforeLines="113" w:afterLines="113" w:line="113" w:lineRule="auto"/>
        <w:jc w:val="left"/>
      </w:pPr>
      <w:r>
        <w:rPr>
          <w:rFonts w:hint="eastAsia" w:ascii="楷体" w:eastAsia="楷体"/>
          <w:b/>
          <w:color w:val="0000FF"/>
          <w:sz w:val="24"/>
          <w:szCs w:val="24"/>
          <w:shd w:val="clear" w:color="auto" w:fill="FFFFFF"/>
        </w:rPr>
        <w:t>根据《高规》3.4.5条，结构扭转为主的第一自振周期 Tt与平动为主的第一自振周期 T1之比，A 级高度高层建筑不应大于0.9，B 级高度高层建筑、混合结构高层建筑及复杂高层建筑不应大于0.85。</w:t>
      </w:r>
    </w:p>
    <w:p>
      <w:pPr>
        <w:spacing w:beforeLines="113" w:afterLines="113" w:line="113" w:lineRule="auto"/>
        <w:jc w:val="center"/>
      </w:pPr>
      <w:r>
        <w:rPr>
          <w:rFonts w:hint="eastAsia" w:ascii="黑体" w:eastAsia="黑体"/>
          <w:b/>
          <w:color w:val="000000"/>
          <w:sz w:val="26"/>
          <w:szCs w:val="26"/>
          <w:shd w:val="clear" w:color="auto" w:fill="FFFFFF"/>
        </w:rPr>
        <w:t>表11-2 结构周期比</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第一扭转周期(s)</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第一平动周期(s)</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周期比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0.4580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0.6161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 xml:space="preserve">  0.74</w:t>
            </w:r>
          </w:p>
        </w:tc>
      </w:tr>
    </w:tbl>
    <w:p>
      <w:pPr>
        <w:spacing w:beforeLines="113" w:afterLines="113" w:line="113" w:lineRule="auto"/>
        <w:jc w:val="center"/>
      </w:pPr>
    </w:p>
    <w:p>
      <w:pPr>
        <w:spacing w:beforeLines="113" w:afterLines="113" w:line="113" w:lineRule="auto"/>
        <w:jc w:val="left"/>
      </w:pPr>
      <w:r>
        <w:rPr>
          <w:rFonts w:hint="eastAsia" w:ascii="宋体" w:eastAsia="宋体"/>
          <w:b/>
          <w:color w:val="000000"/>
          <w:sz w:val="24"/>
          <w:szCs w:val="24"/>
          <w:shd w:val="clear" w:color="auto" w:fill="FFFFFF"/>
        </w:rPr>
        <w:t>说明:此处计算周期比采用的扭转和平动振型通过平动和扭转因子进行判断,程序无法确定其是否为整体振型,</w:t>
      </w:r>
    </w:p>
    <w:p>
      <w:pPr>
        <w:spacing w:beforeLines="113" w:afterLines="113" w:line="113" w:lineRule="auto"/>
        <w:jc w:val="left"/>
      </w:pPr>
      <w:r>
        <w:rPr>
          <w:rFonts w:hint="eastAsia" w:ascii="宋体" w:eastAsia="宋体"/>
          <w:b/>
          <w:color w:val="000000"/>
          <w:sz w:val="24"/>
          <w:szCs w:val="24"/>
          <w:shd w:val="clear" w:color="auto" w:fill="FFFFFF"/>
        </w:rPr>
        <w:t>因此结果仅供参考.设计人员应通过振型图确定计算周期比所需的第一阶平动振型和扭转振型。</w:t>
      </w:r>
    </w:p>
    <w:p>
      <w:pPr>
        <w:spacing w:beforeLines="1701" w:afterLines="567" w:line="170" w:lineRule="auto"/>
        <w:ind w:leftChars="200" w:rightChars="400" w:firstLineChars="200"/>
        <w:jc w:val="center"/>
      </w:pPr>
      <w:r>
        <w:drawing>
          <wp:inline distT="0" distB="0" distL="0" distR="0">
            <wp:extent cx="6479540" cy="5399405"/>
            <wp:effectExtent l="4445" t="4445" r="12065" b="6350"/>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Pr>
          <w:rFonts w:hint="eastAsia" w:ascii="宋体" w:eastAsia="宋体"/>
          <w:b w:val="0"/>
          <w:color w:val="000000"/>
          <w:sz w:val="24"/>
          <w:szCs w:val="24"/>
          <w:shd w:val="clear" w:color="auto" w:fill="FFFFFF"/>
        </w:rPr>
        <w:t>图11-1 1-3振型周期简图</w:t>
      </w:r>
    </w:p>
    <w:p>
      <w:pPr>
        <w:spacing w:beforeLines="113" w:afterLines="113" w:line="113" w:lineRule="auto"/>
        <w:jc w:val="center"/>
      </w:pPr>
    </w:p>
    <w:p>
      <w:pPr>
        <w:spacing w:beforeLines="113" w:afterLines="113" w:line="113" w:lineRule="auto"/>
        <w:jc w:val="left"/>
      </w:pPr>
      <w:r>
        <w:rPr>
          <w:rFonts w:hint="eastAsia" w:ascii="宋体" w:eastAsia="宋体"/>
          <w:b w:val="0"/>
          <w:color w:val="000000"/>
          <w:sz w:val="24"/>
          <w:szCs w:val="24"/>
          <w:shd w:val="clear" w:color="auto" w:fill="FFFFFF"/>
        </w:rPr>
        <w:t xml:space="preserve">        注: 图中蓝色（系列0）表示侧振成份,红色（系列1）表示扭振成份.</w:t>
      </w:r>
    </w:p>
    <w:p>
      <w:pPr>
        <w:pStyle w:val="3"/>
        <w:jc w:val="left"/>
      </w:pPr>
      <w:bookmarkStart w:id="43" w:name="_Toc14070"/>
      <w:r>
        <w:rPr>
          <w:rFonts w:hint="eastAsia" w:ascii="宋体" w:eastAsia="宋体"/>
          <w:b/>
          <w:color w:val="000000"/>
          <w:sz w:val="28"/>
          <w:szCs w:val="28"/>
          <w:shd w:val="clear" w:color="auto" w:fill="FFFFFF"/>
        </w:rPr>
        <w:t>2. 考虑各方向地震作用时的振型参与系数（考虑耦联）</w:t>
      </w:r>
      <w:bookmarkEnd w:id="43"/>
    </w:p>
    <w:p>
      <w:pPr>
        <w:spacing w:beforeLines="113" w:afterLines="113" w:line="113" w:lineRule="auto"/>
        <w:jc w:val="center"/>
      </w:pPr>
      <w:r>
        <w:rPr>
          <w:rFonts w:hint="eastAsia" w:ascii="黑体" w:eastAsia="黑体"/>
          <w:b/>
          <w:color w:val="000000"/>
          <w:sz w:val="26"/>
          <w:szCs w:val="26"/>
          <w:shd w:val="clear" w:color="auto" w:fill="FFFFFF"/>
        </w:rPr>
        <w:t>表11-3 考虑各方向地震作用时的振型参与系数（考虑耦联）</w:t>
      </w:r>
    </w:p>
    <w:tbl>
      <w:tblPr>
        <w:tblStyle w:val="29"/>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60"/>
        <w:gridCol w:w="1361"/>
        <w:gridCol w:w="1361"/>
        <w:gridCol w:w="136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周期(s)</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0.6161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-0.12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16.00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0.5277</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15.11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0.23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0.4580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-5.27</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0.29</w:t>
            </w:r>
          </w:p>
        </w:tc>
      </w:tr>
    </w:tbl>
    <w:p>
      <w:pPr>
        <w:spacing w:beforeLines="113" w:afterLines="113" w:line="113" w:lineRule="auto"/>
        <w:jc w:val="left"/>
      </w:pPr>
    </w:p>
    <w:p>
      <w:pPr>
        <w:pStyle w:val="3"/>
        <w:jc w:val="left"/>
      </w:pPr>
      <w:bookmarkStart w:id="44" w:name="_Toc17830"/>
      <w:r>
        <w:rPr>
          <w:rFonts w:hint="eastAsia" w:ascii="宋体" w:eastAsia="宋体"/>
          <w:b/>
          <w:color w:val="000000"/>
          <w:sz w:val="28"/>
          <w:szCs w:val="28"/>
          <w:shd w:val="clear" w:color="auto" w:fill="FFFFFF"/>
        </w:rPr>
        <w:t>3. 各地震方向参与振型的有效质量系数</w:t>
      </w:r>
      <w:bookmarkEnd w:id="44"/>
    </w:p>
    <w:p>
      <w:pPr>
        <w:spacing w:beforeLines="113" w:afterLines="113" w:line="113" w:lineRule="auto"/>
        <w:jc w:val="center"/>
      </w:pPr>
      <w:r>
        <w:rPr>
          <w:rFonts w:hint="eastAsia" w:ascii="黑体" w:eastAsia="黑体"/>
          <w:b/>
          <w:color w:val="000000"/>
          <w:sz w:val="26"/>
          <w:szCs w:val="26"/>
          <w:shd w:val="clear" w:color="auto" w:fill="FFFFFF"/>
        </w:rPr>
        <w:t>表11-4 各地震方向参与振型的有效质量系数</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09"/>
        <w:gridCol w:w="1210"/>
        <w:gridCol w:w="1210"/>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99.95%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89.13%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10.86%</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0.03%</w:t>
            </w:r>
          </w:p>
        </w:tc>
        <w:tc>
          <w:tcPr>
            <w:tcW w:w="1190" w:type="dxa"/>
            <w:shd w:val="clear" w:color="auto" w:fill="FFFFFF"/>
          </w:tcPr>
          <w:p>
            <w:pPr>
              <w:jc w:val="left"/>
            </w:pPr>
          </w:p>
        </w:tc>
        <w:tc>
          <w:tcPr>
            <w:tcW w:w="1190" w:type="dxa"/>
            <w:shd w:val="clear" w:color="auto" w:fill="FFFFFF"/>
          </w:tcPr>
          <w:p>
            <w:pPr>
              <w:jc w:val="left"/>
            </w:pPr>
          </w:p>
        </w:tc>
        <w:tc>
          <w:tcPr>
            <w:tcW w:w="1190" w:type="dxa"/>
            <w:shd w:val="clear" w:color="auto" w:fill="FFFFFF"/>
          </w:tcPr>
          <w:p>
            <w:pPr>
              <w:jc w:val="left"/>
            </w:pPr>
          </w:p>
        </w:tc>
      </w:tr>
    </w:tbl>
    <w:p>
      <w:pPr>
        <w:spacing w:beforeLines="113" w:afterLines="113" w:line="113" w:lineRule="auto"/>
        <w:jc w:val="left"/>
      </w:pPr>
      <w:r>
        <w:rPr>
          <w:rFonts w:hint="eastAsia" w:ascii="楷体" w:eastAsia="楷体"/>
          <w:b/>
          <w:color w:val="0000FF"/>
          <w:sz w:val="24"/>
          <w:szCs w:val="24"/>
          <w:shd w:val="clear" w:color="auto" w:fill="FFFFFF"/>
        </w:rPr>
        <w:t>根据《高规》5.1.13条,各振型的参与质量之和不应小于总质量的90%。</w:t>
      </w:r>
    </w:p>
    <w:p>
      <w:pPr>
        <w:spacing w:beforeLines="113" w:afterLines="113" w:line="113" w:lineRule="auto"/>
        <w:jc w:val="left"/>
      </w:pPr>
      <w:r>
        <w:rPr>
          <w:rFonts w:hint="eastAsia" w:ascii="宋体" w:eastAsia="宋体"/>
          <w:b w:val="0"/>
          <w:color w:val="000000"/>
          <w:sz w:val="24"/>
          <w:szCs w:val="24"/>
          <w:shd w:val="clear" w:color="auto" w:fill="FFFFFF"/>
        </w:rPr>
        <w:t>第 1 地震方向 X向地震 的有效质量系数为 100.00%,参与振型足够</w:t>
      </w:r>
    </w:p>
    <w:p>
      <w:pPr>
        <w:spacing w:beforeLines="113" w:afterLines="113" w:line="113" w:lineRule="auto"/>
        <w:jc w:val="left"/>
      </w:pPr>
      <w:r>
        <w:rPr>
          <w:rFonts w:hint="eastAsia" w:ascii="宋体" w:eastAsia="宋体"/>
          <w:b w:val="0"/>
          <w:color w:val="000000"/>
          <w:sz w:val="24"/>
          <w:szCs w:val="24"/>
          <w:shd w:val="clear" w:color="auto" w:fill="FFFFFF"/>
        </w:rPr>
        <w:t>第 2 地震方向 Y向地震 的有效质量系数为 100.00%,参与振型足够</w:t>
      </w:r>
    </w:p>
    <w:p>
      <w:pPr>
        <w:spacing w:beforeLines="113" w:afterLines="113" w:line="113" w:lineRule="auto"/>
        <w:jc w:val="left"/>
      </w:pPr>
    </w:p>
    <w:p>
      <w:pPr>
        <w:pStyle w:val="3"/>
        <w:jc w:val="left"/>
      </w:pPr>
      <w:bookmarkStart w:id="45" w:name="_Toc27208"/>
      <w:r>
        <w:rPr>
          <w:rFonts w:hint="eastAsia" w:ascii="宋体" w:eastAsia="宋体"/>
          <w:b/>
          <w:color w:val="000000"/>
          <w:sz w:val="28"/>
          <w:szCs w:val="28"/>
          <w:shd w:val="clear" w:color="auto" w:fill="FFFFFF"/>
        </w:rPr>
        <w:t>4. 各振型的地震力(按抗规5.2.5调整前)</w:t>
      </w:r>
      <w:bookmarkEnd w:id="45"/>
    </w:p>
    <w:p>
      <w:pPr>
        <w:spacing w:beforeLines="1701" w:afterLines="567" w:line="170" w:lineRule="auto"/>
        <w:ind w:leftChars="200" w:rightChars="400" w:firstLineChars="200"/>
        <w:jc w:val="center"/>
      </w:pPr>
      <w:r>
        <w:drawing>
          <wp:inline distT="0" distB="0" distL="0" distR="0">
            <wp:extent cx="5399405" cy="5399405"/>
            <wp:effectExtent l="9525" t="9525" r="20320" b="2032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Pr>
          <w:rFonts w:hint="eastAsia" w:ascii="宋体" w:eastAsia="宋体"/>
          <w:b w:val="0"/>
          <w:color w:val="000000"/>
          <w:sz w:val="24"/>
          <w:szCs w:val="24"/>
          <w:shd w:val="clear" w:color="auto" w:fill="FFFFFF"/>
        </w:rPr>
        <w:t>图11-2 X向地震时多振型下主方向作用力简图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Pr>
          <w:rFonts w:hint="eastAsia" w:ascii="宋体" w:eastAsia="宋体"/>
          <w:b w:val="0"/>
          <w:color w:val="000000"/>
          <w:sz w:val="24"/>
          <w:szCs w:val="24"/>
          <w:shd w:val="clear" w:color="auto" w:fill="FFFFFF"/>
        </w:rPr>
        <w:t>图11-3 Y向地震时多振型下主方向作用力简图</w:t>
      </w:r>
    </w:p>
    <w:p>
      <w:pPr>
        <w:spacing w:beforeLines="113" w:afterLines="113" w:line="113" w:lineRule="auto"/>
        <w:jc w:val="center"/>
      </w:pPr>
    </w:p>
    <w:p>
      <w:pPr>
        <w:pStyle w:val="3"/>
        <w:jc w:val="left"/>
      </w:pPr>
      <w:bookmarkStart w:id="46" w:name="_Toc17726"/>
      <w:r>
        <w:rPr>
          <w:rFonts w:hint="eastAsia" w:ascii="宋体" w:eastAsia="宋体"/>
          <w:b/>
          <w:color w:val="000000"/>
          <w:sz w:val="28"/>
          <w:szCs w:val="28"/>
          <w:shd w:val="clear" w:color="auto" w:fill="FFFFFF"/>
        </w:rPr>
        <w:t>5. 各振型的基底剪力</w:t>
      </w:r>
      <w:bookmarkEnd w:id="46"/>
    </w:p>
    <w:p>
      <w:pPr>
        <w:spacing w:beforeLines="113" w:afterLines="113" w:line="113" w:lineRule="auto"/>
        <w:jc w:val="center"/>
      </w:pPr>
      <w:r>
        <w:rPr>
          <w:rFonts w:hint="eastAsia" w:ascii="黑体" w:eastAsia="黑体"/>
          <w:b/>
          <w:color w:val="000000"/>
          <w:sz w:val="26"/>
          <w:szCs w:val="26"/>
          <w:shd w:val="clear" w:color="auto" w:fill="FFFFFF"/>
        </w:rPr>
        <w:t>表11-5 各振型的基底剪力(单位 kN)</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09"/>
        <w:gridCol w:w="1210"/>
        <w:gridCol w:w="1210"/>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0.01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204.76</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182.61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0.04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22.25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0.07</w:t>
            </w:r>
          </w:p>
        </w:tc>
        <w:tc>
          <w:tcPr>
            <w:tcW w:w="1190" w:type="dxa"/>
            <w:shd w:val="clear" w:color="auto" w:fill="FFFFFF"/>
          </w:tcPr>
          <w:p>
            <w:pPr>
              <w:jc w:val="left"/>
            </w:pPr>
          </w:p>
        </w:tc>
        <w:tc>
          <w:tcPr>
            <w:tcW w:w="1190" w:type="dxa"/>
            <w:shd w:val="clear" w:color="auto" w:fill="FFFFFF"/>
          </w:tcPr>
          <w:p>
            <w:pPr>
              <w:jc w:val="left"/>
            </w:pPr>
          </w:p>
        </w:tc>
        <w:tc>
          <w:tcPr>
            <w:tcW w:w="1190" w:type="dxa"/>
            <w:shd w:val="clear" w:color="auto" w:fill="FFFFFF"/>
          </w:tcPr>
          <w:p>
            <w:pPr>
              <w:jc w:val="left"/>
            </w:pP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4445" t="4445" r="6350" b="6350"/>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rPr>
          <w:rFonts w:hint="eastAsia" w:ascii="宋体" w:eastAsia="宋体"/>
          <w:b w:val="0"/>
          <w:color w:val="000000"/>
          <w:sz w:val="24"/>
          <w:szCs w:val="24"/>
          <w:shd w:val="clear" w:color="auto" w:fill="FFFFFF"/>
        </w:rPr>
        <w:t>图11-4 基底剪力简图</w:t>
      </w:r>
    </w:p>
    <w:p>
      <w:pPr>
        <w:spacing w:beforeLines="113" w:afterLines="113" w:line="113" w:lineRule="auto"/>
        <w:jc w:val="center"/>
      </w:pPr>
    </w:p>
    <w:p>
      <w:pPr>
        <w:pStyle w:val="3"/>
        <w:jc w:val="left"/>
      </w:pPr>
      <w:bookmarkStart w:id="47" w:name="_Toc26878"/>
      <w:r>
        <w:rPr>
          <w:rFonts w:hint="eastAsia" w:ascii="宋体" w:eastAsia="宋体"/>
          <w:b/>
          <w:color w:val="000000"/>
          <w:sz w:val="28"/>
          <w:szCs w:val="28"/>
          <w:shd w:val="clear" w:color="auto" w:fill="FFFFFF"/>
        </w:rPr>
        <w:t>6. 地震作用下结构剪重比及其调整</w:t>
      </w:r>
      <w:bookmarkEnd w:id="47"/>
    </w:p>
    <w:p>
      <w:pPr>
        <w:spacing w:beforeLines="113" w:afterLines="113" w:line="113" w:lineRule="auto"/>
        <w:jc w:val="left"/>
      </w:pPr>
      <w:bookmarkStart w:id="48" w:name="X向地震"/>
      <w:bookmarkEnd w:id="48"/>
      <w:r>
        <w:rPr>
          <w:rFonts w:hint="eastAsia" w:ascii="宋体" w:eastAsia="宋体"/>
          <w:b/>
          <w:color w:val="8A2BE2"/>
          <w:sz w:val="24"/>
          <w:szCs w:val="24"/>
          <w:shd w:val="clear" w:color="auto" w:fill="FFFFFF"/>
        </w:rPr>
        <w:t xml:space="preserve">Vx,Vy(kN):        </w:t>
      </w:r>
      <w:r>
        <w:rPr>
          <w:rFonts w:hint="eastAsia" w:ascii="宋体" w:eastAsia="宋体"/>
          <w:b w:val="0"/>
          <w:color w:val="000000"/>
          <w:sz w:val="24"/>
          <w:szCs w:val="24"/>
          <w:shd w:val="clear" w:color="auto" w:fill="FFFFFF"/>
        </w:rPr>
        <w:t>地震作用下结构楼层的剪力</w:t>
      </w:r>
    </w:p>
    <w:p>
      <w:pPr>
        <w:spacing w:beforeLines="113" w:afterLines="113" w:line="113" w:lineRule="auto"/>
        <w:jc w:val="left"/>
      </w:pPr>
      <w:r>
        <w:rPr>
          <w:rFonts w:hint="eastAsia" w:ascii="宋体" w:eastAsia="宋体"/>
          <w:b/>
          <w:color w:val="8A2BE2"/>
          <w:sz w:val="24"/>
          <w:szCs w:val="24"/>
          <w:shd w:val="clear" w:color="auto" w:fill="FFFFFF"/>
        </w:rPr>
        <w:t xml:space="preserve">RSW:              </w:t>
      </w:r>
      <w:r>
        <w:rPr>
          <w:rFonts w:hint="eastAsia" w:ascii="宋体" w:eastAsia="宋体"/>
          <w:b w:val="0"/>
          <w:color w:val="000000"/>
          <w:sz w:val="24"/>
          <w:szCs w:val="24"/>
          <w:shd w:val="clear" w:color="auto" w:fill="FFFFFF"/>
        </w:rPr>
        <w:t>剪重比</w:t>
      </w:r>
    </w:p>
    <w:p>
      <w:pPr>
        <w:spacing w:beforeLines="113" w:afterLines="113" w:line="113" w:lineRule="auto"/>
        <w:jc w:val="left"/>
      </w:pPr>
      <w:r>
        <w:rPr>
          <w:rFonts w:hint="eastAsia" w:ascii="宋体" w:eastAsia="宋体"/>
          <w:b/>
          <w:color w:val="8A2BE2"/>
          <w:sz w:val="24"/>
          <w:szCs w:val="24"/>
          <w:shd w:val="clear" w:color="auto" w:fill="FFFFFF"/>
        </w:rPr>
        <w:t xml:space="preserve">Coef2:           </w:t>
      </w:r>
      <w:r>
        <w:rPr>
          <w:rFonts w:hint="eastAsia" w:ascii="宋体" w:eastAsia="宋体"/>
          <w:b w:val="0"/>
          <w:color w:val="000000"/>
          <w:sz w:val="24"/>
          <w:szCs w:val="24"/>
          <w:shd w:val="clear" w:color="auto" w:fill="FFFFFF"/>
        </w:rPr>
        <w:t>按抗规(5.2.5)条计算的剪重比调整系数</w:t>
      </w:r>
    </w:p>
    <w:p>
      <w:pPr>
        <w:spacing w:beforeLines="113" w:afterLines="113" w:line="113" w:lineRule="auto"/>
        <w:jc w:val="left"/>
      </w:pPr>
      <w:r>
        <w:rPr>
          <w:rFonts w:hint="eastAsia" w:ascii="宋体" w:eastAsia="宋体"/>
          <w:b/>
          <w:color w:val="8A2BE2"/>
          <w:sz w:val="24"/>
          <w:szCs w:val="24"/>
          <w:shd w:val="clear" w:color="auto" w:fill="FFFFFF"/>
        </w:rPr>
        <w:t xml:space="preserve">Coef_RSWx,Coef_RSWy:  </w:t>
      </w:r>
      <w:r>
        <w:rPr>
          <w:rFonts w:hint="eastAsia" w:ascii="宋体" w:eastAsia="宋体"/>
          <w:b w:val="0"/>
          <w:color w:val="000000"/>
          <w:sz w:val="24"/>
          <w:szCs w:val="24"/>
          <w:shd w:val="clear" w:color="auto" w:fill="FFFFFF"/>
        </w:rPr>
        <w:t>程序综合考虑最终采用的剪重比调整系数(如果用户定义了则采用用户定义值)</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根据《建筑与市政工程抗震通用规范》4.2.3-3规定，7度(0.10g)设防地区，水平地震影响系数最大值为0.08，X向楼层剪重比不应小于1.60%。</w:t>
      </w:r>
    </w:p>
    <w:p>
      <w:pPr>
        <w:spacing w:beforeLines="113" w:afterLines="113" w:line="113" w:lineRule="auto"/>
        <w:jc w:val="left"/>
      </w:pPr>
      <w:r>
        <w:rPr>
          <w:rFonts w:hint="eastAsia" w:ascii="楷体" w:eastAsia="楷体"/>
          <w:b/>
          <w:color w:val="0000FF"/>
          <w:sz w:val="24"/>
          <w:szCs w:val="24"/>
          <w:shd w:val="clear" w:color="auto" w:fill="FFFFFF"/>
        </w:rPr>
        <w:t>由下表可见， X向地震剪重比符合要求。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表11-6 X向地震工况下指标</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191.1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7.46%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bookmarkStart w:id="49" w:name="Y向地震"/>
      <w:bookmarkEnd w:id="49"/>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根据《建筑与市政工程抗震通用规范》4.2.3-3规定，7度(0.10g)设防地区，水平地震影响系数最大值为0.08，Y向楼层剪重比不应小于1.60%。</w:t>
      </w:r>
    </w:p>
    <w:p>
      <w:pPr>
        <w:spacing w:beforeLines="113" w:afterLines="113" w:line="113" w:lineRule="auto"/>
        <w:jc w:val="left"/>
      </w:pPr>
      <w:r>
        <w:rPr>
          <w:rFonts w:hint="eastAsia" w:ascii="楷体" w:eastAsia="楷体"/>
          <w:b/>
          <w:color w:val="0000FF"/>
          <w:sz w:val="24"/>
          <w:szCs w:val="24"/>
          <w:shd w:val="clear" w:color="auto" w:fill="FFFFFF"/>
        </w:rPr>
        <w:t>由下表可见， Y向地震剪重比符合要求。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表11-7 Y向地震工况下指标</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204.8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8.00%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r>
        <w:rPr>
          <w:rFonts w:hint="eastAsia" w:ascii="宋体" w:eastAsia="宋体"/>
          <w:b w:val="0"/>
          <w:color w:val="000000"/>
          <w:sz w:val="24"/>
          <w:szCs w:val="24"/>
          <w:shd w:val="clear" w:color="auto" w:fill="FFFFFF"/>
        </w:rPr>
        <w:t>图11-5 地震各工况楼层剪力简图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7"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Pr>
          <w:rFonts w:hint="eastAsia" w:ascii="宋体" w:eastAsia="宋体"/>
          <w:b w:val="0"/>
          <w:color w:val="000000"/>
          <w:sz w:val="24"/>
          <w:szCs w:val="24"/>
          <w:shd w:val="clear" w:color="auto" w:fill="FFFFFF"/>
        </w:rPr>
        <w:t>图11-6 地震各工况剪重比简图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r>
        <w:rPr>
          <w:rFonts w:hint="eastAsia" w:ascii="宋体" w:eastAsia="宋体"/>
          <w:b w:val="0"/>
          <w:color w:val="000000"/>
          <w:sz w:val="24"/>
          <w:szCs w:val="24"/>
          <w:shd w:val="clear" w:color="auto" w:fill="FFFFFF"/>
        </w:rPr>
        <w:t>图11-7 地震各工况最终采用的剪重比调整系数简图</w:t>
      </w:r>
    </w:p>
    <w:p>
      <w:pPr>
        <w:spacing w:beforeLines="113" w:afterLines="113" w:line="113" w:lineRule="auto"/>
        <w:jc w:val="center"/>
      </w:pPr>
    </w:p>
    <w:p>
      <w:pPr>
        <w:pStyle w:val="3"/>
        <w:jc w:val="left"/>
      </w:pPr>
      <w:bookmarkStart w:id="50" w:name="_Toc29254"/>
      <w:r>
        <w:rPr>
          <w:rFonts w:hint="eastAsia" w:ascii="宋体" w:eastAsia="宋体"/>
          <w:b/>
          <w:color w:val="000000"/>
          <w:sz w:val="28"/>
          <w:szCs w:val="28"/>
          <w:shd w:val="clear" w:color="auto" w:fill="FFFFFF"/>
        </w:rPr>
        <w:t>7. 偶然偏心信息</w:t>
      </w:r>
      <w:bookmarkEnd w:id="50"/>
    </w:p>
    <w:p>
      <w:pPr>
        <w:spacing w:beforeLines="113" w:afterLines="113" w:line="113" w:lineRule="auto"/>
        <w:jc w:val="left"/>
      </w:pPr>
      <w:r>
        <w:rPr>
          <w:rFonts w:hint="eastAsia" w:ascii="宋体" w:eastAsia="宋体"/>
          <w:b/>
          <w:color w:val="8A2BE2"/>
          <w:sz w:val="24"/>
          <w:szCs w:val="24"/>
          <w:shd w:val="clear" w:color="auto" w:fill="FFFFFF"/>
        </w:rPr>
        <w:t xml:space="preserve">Ecx，Ecy:        </w:t>
      </w:r>
      <w:r>
        <w:rPr>
          <w:rFonts w:hint="eastAsia" w:ascii="宋体" w:eastAsia="宋体"/>
          <w:b w:val="0"/>
          <w:color w:val="000000"/>
          <w:sz w:val="24"/>
          <w:szCs w:val="24"/>
          <w:shd w:val="clear" w:color="auto" w:fill="FFFFFF"/>
        </w:rPr>
        <w:t>X、Y向偶然偏心</w:t>
      </w:r>
    </w:p>
    <w:p>
      <w:pPr>
        <w:spacing w:beforeLines="113" w:afterLines="113" w:line="113" w:lineRule="auto"/>
        <w:jc w:val="center"/>
      </w:pPr>
      <w:r>
        <w:rPr>
          <w:rFonts w:hint="eastAsia" w:ascii="黑体" w:eastAsia="黑体"/>
          <w:b/>
          <w:color w:val="000000"/>
          <w:sz w:val="26"/>
          <w:szCs w:val="26"/>
          <w:shd w:val="clear" w:color="auto" w:fill="FFFFFF"/>
        </w:rPr>
        <w:t>表11-8 偶然偏心</w:t>
      </w:r>
    </w:p>
    <w:tbl>
      <w:tblPr>
        <w:tblStyle w:val="29"/>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Ecx</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Ecy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0.05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0.05</w:t>
            </w:r>
          </w:p>
        </w:tc>
      </w:tr>
    </w:tbl>
    <w:p>
      <w:pPr>
        <w:spacing w:beforeLines="113" w:afterLines="113" w:line="113" w:lineRule="auto"/>
        <w:jc w:val="left"/>
      </w:pPr>
    </w:p>
    <w:p>
      <w:pPr>
        <w:pStyle w:val="16"/>
        <w:jc w:val="center"/>
      </w:pPr>
      <w:bookmarkStart w:id="51" w:name="_Toc384"/>
      <w:r>
        <w:rPr>
          <w:rFonts w:hint="eastAsia" w:ascii="宋体" w:eastAsia="宋体"/>
          <w:b/>
          <w:color w:val="000000"/>
          <w:sz w:val="32"/>
          <w:szCs w:val="32"/>
          <w:shd w:val="clear" w:color="auto" w:fill="FFFFFF"/>
        </w:rPr>
        <w:t>十二. 结构体系指标及二道防线调整</w:t>
      </w:r>
      <w:bookmarkEnd w:id="51"/>
    </w:p>
    <w:p>
      <w:pPr>
        <w:pStyle w:val="3"/>
        <w:jc w:val="left"/>
      </w:pPr>
      <w:bookmarkStart w:id="52" w:name="_Toc30865"/>
      <w:r>
        <w:rPr>
          <w:rFonts w:hint="eastAsia" w:ascii="宋体" w:eastAsia="宋体"/>
          <w:b/>
          <w:color w:val="000000"/>
          <w:sz w:val="28"/>
          <w:szCs w:val="28"/>
          <w:shd w:val="clear" w:color="auto" w:fill="FFFFFF"/>
        </w:rPr>
        <w:t>1. 各层规定水平力</w:t>
      </w:r>
      <w:bookmarkEnd w:id="52"/>
    </w:p>
    <w:p>
      <w:pPr>
        <w:spacing w:beforeLines="113" w:afterLines="113" w:line="113" w:lineRule="auto"/>
        <w:jc w:val="center"/>
      </w:pPr>
      <w:r>
        <w:rPr>
          <w:rFonts w:hint="eastAsia" w:ascii="黑体" w:eastAsia="黑体"/>
          <w:b/>
          <w:color w:val="000000"/>
          <w:sz w:val="26"/>
          <w:szCs w:val="26"/>
          <w:shd w:val="clear" w:color="auto" w:fill="FFFFFF"/>
        </w:rPr>
        <w:t>表12-1 各层规定水平力(kN)</w:t>
      </w:r>
    </w:p>
    <w:tbl>
      <w:tblPr>
        <w:tblStyle w:val="29"/>
        <w:tblW w:w="362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X向地震</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191.1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204.8</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9" name="图表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r>
        <w:rPr>
          <w:rFonts w:hint="eastAsia" w:ascii="宋体" w:eastAsia="宋体"/>
          <w:b w:val="0"/>
          <w:color w:val="000000"/>
          <w:sz w:val="24"/>
          <w:szCs w:val="24"/>
          <w:shd w:val="clear" w:color="auto" w:fill="FFFFFF"/>
        </w:rPr>
        <w:t>图12-1 多工况下规定水平力简图</w:t>
      </w:r>
    </w:p>
    <w:p>
      <w:pPr>
        <w:spacing w:beforeLines="113" w:afterLines="113" w:line="113" w:lineRule="auto"/>
        <w:jc w:val="center"/>
      </w:pPr>
    </w:p>
    <w:p>
      <w:pPr>
        <w:pStyle w:val="3"/>
        <w:jc w:val="left"/>
      </w:pPr>
      <w:bookmarkStart w:id="53" w:name="_Toc29524"/>
      <w:r>
        <w:rPr>
          <w:rFonts w:hint="eastAsia" w:ascii="宋体" w:eastAsia="宋体"/>
          <w:b/>
          <w:color w:val="000000"/>
          <w:sz w:val="28"/>
          <w:szCs w:val="28"/>
          <w:shd w:val="clear" w:color="auto" w:fill="FFFFFF"/>
        </w:rPr>
        <w:t>2. 竖向构件倾覆力矩及百分比(抗规方式)</w:t>
      </w:r>
      <w:bookmarkEnd w:id="53"/>
    </w:p>
    <w:p>
      <w:pPr>
        <w:spacing w:beforeLines="113" w:afterLines="113" w:line="113" w:lineRule="auto"/>
        <w:jc w:val="center"/>
      </w:pPr>
      <w:bookmarkStart w:id="54" w:name="X静震"/>
      <w:bookmarkEnd w:id="54"/>
      <w:r>
        <w:rPr>
          <w:rFonts w:hint="eastAsia" w:ascii="黑体" w:eastAsia="黑体"/>
          <w:b/>
          <w:color w:val="000000"/>
          <w:sz w:val="26"/>
          <w:szCs w:val="26"/>
          <w:shd w:val="clear" w:color="auto" w:fill="FFFFFF"/>
        </w:rPr>
        <w:t>表12-2 X静震工况下的倾覆力矩及百分比(单位 kN.m)</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516"/>
        <w:gridCol w:w="1896"/>
        <w:gridCol w:w="1296"/>
        <w:gridCol w:w="1296"/>
        <w:gridCol w:w="1296"/>
        <w:gridCol w:w="95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1452.6(100.0%)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1452.6</w:t>
            </w:r>
          </w:p>
        </w:tc>
      </w:tr>
    </w:tbl>
    <w:p>
      <w:pPr>
        <w:spacing w:beforeLines="113" w:afterLines="113" w:line="113" w:lineRule="auto"/>
        <w:jc w:val="left"/>
      </w:pPr>
    </w:p>
    <w:p>
      <w:pPr>
        <w:spacing w:beforeLines="113" w:afterLines="113" w:line="113" w:lineRule="auto"/>
        <w:jc w:val="center"/>
      </w:pPr>
      <w:bookmarkStart w:id="55" w:name="Y静震"/>
      <w:bookmarkEnd w:id="55"/>
      <w:r>
        <w:rPr>
          <w:rFonts w:hint="eastAsia" w:ascii="黑体" w:eastAsia="黑体"/>
          <w:b/>
          <w:color w:val="000000"/>
          <w:sz w:val="26"/>
          <w:szCs w:val="26"/>
          <w:shd w:val="clear" w:color="auto" w:fill="FFFFFF"/>
        </w:rPr>
        <w:t>表12-3 Y静震工况下的倾覆力矩及百分比(单位 kN.m)</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516"/>
        <w:gridCol w:w="1896"/>
        <w:gridCol w:w="1296"/>
        <w:gridCol w:w="1296"/>
        <w:gridCol w:w="1296"/>
        <w:gridCol w:w="95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1556.2(100.0%)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1556.2</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0" name="图表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r>
        <w:rPr>
          <w:rFonts w:hint="eastAsia" w:ascii="宋体" w:eastAsia="宋体"/>
          <w:b w:val="0"/>
          <w:color w:val="000000"/>
          <w:sz w:val="24"/>
          <w:szCs w:val="24"/>
          <w:shd w:val="clear" w:color="auto" w:fill="FFFFFF"/>
        </w:rPr>
        <w:t>图12-2 X静震下倾覆力矩简图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1" name="图表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r>
        <w:rPr>
          <w:rFonts w:hint="eastAsia" w:ascii="宋体" w:eastAsia="宋体"/>
          <w:b w:val="0"/>
          <w:color w:val="000000"/>
          <w:sz w:val="24"/>
          <w:szCs w:val="24"/>
          <w:shd w:val="clear" w:color="auto" w:fill="FFFFFF"/>
        </w:rPr>
        <w:t>图12-3 Y静震下倾覆力矩简图</w:t>
      </w:r>
    </w:p>
    <w:p>
      <w:pPr>
        <w:spacing w:beforeLines="113" w:afterLines="113" w:line="113" w:lineRule="auto"/>
        <w:jc w:val="center"/>
      </w:pPr>
    </w:p>
    <w:p>
      <w:pPr>
        <w:pStyle w:val="3"/>
        <w:jc w:val="left"/>
      </w:pPr>
      <w:bookmarkStart w:id="56" w:name="_Toc14485"/>
      <w:r>
        <w:rPr>
          <w:rFonts w:hint="eastAsia" w:ascii="宋体" w:eastAsia="宋体"/>
          <w:b/>
          <w:color w:val="000000"/>
          <w:sz w:val="28"/>
          <w:szCs w:val="28"/>
          <w:shd w:val="clear" w:color="auto" w:fill="FFFFFF"/>
        </w:rPr>
        <w:t>3. 竖向构件倾覆力矩及百分比(力学方式)</w:t>
      </w:r>
      <w:bookmarkEnd w:id="56"/>
    </w:p>
    <w:p>
      <w:pPr>
        <w:spacing w:beforeLines="113" w:afterLines="113" w:line="113" w:lineRule="auto"/>
        <w:jc w:val="center"/>
      </w:pPr>
      <w:r>
        <w:rPr>
          <w:rFonts w:hint="eastAsia" w:ascii="黑体" w:eastAsia="黑体"/>
          <w:b/>
          <w:color w:val="000000"/>
          <w:sz w:val="26"/>
          <w:szCs w:val="26"/>
          <w:shd w:val="clear" w:color="auto" w:fill="FFFFFF"/>
        </w:rPr>
        <w:t>表12-4 X静震工况下的倾覆力矩及百分比(单位 kN.m)</w:t>
      </w:r>
    </w:p>
    <w:tbl>
      <w:tblPr>
        <w:tblStyle w:val="31"/>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696"/>
        <w:gridCol w:w="696"/>
        <w:gridCol w:w="1896"/>
        <w:gridCol w:w="1296"/>
        <w:gridCol w:w="1296"/>
        <w:gridCol w:w="1296"/>
        <w:gridCol w:w="93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合力点坐标(m)</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020" w:type="dxa"/>
            <w:vMerge w:val="restart"/>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w:t>
            </w: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nil"/>
            </w:tcBorders>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25.9</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18.1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1452.6(100.0%)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1452.6</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表12-5 Y静震工况下的倾覆力矩及百分比(单位 kN.m)</w:t>
      </w:r>
    </w:p>
    <w:tbl>
      <w:tblPr>
        <w:tblStyle w:val="31"/>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696"/>
        <w:gridCol w:w="696"/>
        <w:gridCol w:w="1896"/>
        <w:gridCol w:w="1296"/>
        <w:gridCol w:w="1296"/>
        <w:gridCol w:w="1296"/>
        <w:gridCol w:w="93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合力点坐标(m)</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020" w:type="dxa"/>
            <w:vMerge w:val="restart"/>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w:t>
            </w: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nil"/>
            </w:tcBorders>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25.9</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18.1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1556.2(100.0%)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1556.2</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2" name="图表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r>
        <w:rPr>
          <w:rFonts w:hint="eastAsia" w:ascii="宋体" w:eastAsia="宋体"/>
          <w:b w:val="0"/>
          <w:color w:val="000000"/>
          <w:sz w:val="24"/>
          <w:szCs w:val="24"/>
          <w:shd w:val="clear" w:color="auto" w:fill="FFFFFF"/>
        </w:rPr>
        <w:t>图12-4 X静震下倾覆力矩简图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3" name="图表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r>
        <w:rPr>
          <w:rFonts w:hint="eastAsia" w:ascii="宋体" w:eastAsia="宋体"/>
          <w:b w:val="0"/>
          <w:color w:val="000000"/>
          <w:sz w:val="24"/>
          <w:szCs w:val="24"/>
          <w:shd w:val="clear" w:color="auto" w:fill="FFFFFF"/>
        </w:rPr>
        <w:t>图12-5 Y静震下倾覆力矩简图</w:t>
      </w:r>
    </w:p>
    <w:p>
      <w:pPr>
        <w:spacing w:beforeLines="113" w:afterLines="113" w:line="113" w:lineRule="auto"/>
        <w:jc w:val="center"/>
      </w:pPr>
    </w:p>
    <w:p>
      <w:pPr>
        <w:pStyle w:val="3"/>
        <w:jc w:val="left"/>
      </w:pPr>
      <w:bookmarkStart w:id="57" w:name="_Toc2014"/>
      <w:r>
        <w:rPr>
          <w:rFonts w:hint="eastAsia" w:ascii="宋体" w:eastAsia="宋体"/>
          <w:b/>
          <w:color w:val="000000"/>
          <w:sz w:val="28"/>
          <w:szCs w:val="28"/>
          <w:shd w:val="clear" w:color="auto" w:fill="FFFFFF"/>
        </w:rPr>
        <w:t>4. 竖向构件地震剪力及百分比</w:t>
      </w:r>
      <w:bookmarkEnd w:id="57"/>
    </w:p>
    <w:p>
      <w:pPr>
        <w:spacing w:beforeLines="113" w:afterLines="113" w:line="113" w:lineRule="auto"/>
        <w:jc w:val="center"/>
      </w:pPr>
      <w:r>
        <w:rPr>
          <w:rFonts w:hint="eastAsia" w:ascii="黑体" w:eastAsia="黑体"/>
          <w:b/>
          <w:color w:val="000000"/>
          <w:sz w:val="26"/>
          <w:szCs w:val="26"/>
          <w:shd w:val="clear" w:color="auto" w:fill="FFFFFF"/>
        </w:rPr>
        <w:t>表12-6 X向地震工况下的剪力及百分比(单位 kN)</w:t>
      </w:r>
    </w:p>
    <w:tbl>
      <w:tblPr>
        <w:tblStyle w:val="29"/>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13"/>
        <w:gridCol w:w="1776"/>
        <w:gridCol w:w="1343"/>
        <w:gridCol w:w="121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191.1(100.0%)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191.1</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表12-7 Y向地震工况下的剪力及百分比(单位 kN)</w:t>
      </w:r>
    </w:p>
    <w:tbl>
      <w:tblPr>
        <w:tblStyle w:val="29"/>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13"/>
        <w:gridCol w:w="1776"/>
        <w:gridCol w:w="1343"/>
        <w:gridCol w:w="121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204.8(100.0%)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204.8</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4" name="图表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r>
        <w:rPr>
          <w:rFonts w:hint="eastAsia" w:ascii="宋体" w:eastAsia="宋体"/>
          <w:b w:val="0"/>
          <w:color w:val="000000"/>
          <w:sz w:val="24"/>
          <w:szCs w:val="24"/>
          <w:shd w:val="clear" w:color="auto" w:fill="FFFFFF"/>
        </w:rPr>
        <w:t>图12-6 X向地震下剪力简图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5" name="图表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r>
        <w:rPr>
          <w:rFonts w:hint="eastAsia" w:ascii="宋体" w:eastAsia="宋体"/>
          <w:b w:val="0"/>
          <w:color w:val="000000"/>
          <w:sz w:val="24"/>
          <w:szCs w:val="24"/>
          <w:shd w:val="clear" w:color="auto" w:fill="FFFFFF"/>
        </w:rPr>
        <w:t>图12-7 Y向地震下剪力简图</w:t>
      </w:r>
    </w:p>
    <w:p>
      <w:pPr>
        <w:spacing w:beforeLines="113" w:afterLines="113" w:line="113" w:lineRule="auto"/>
        <w:jc w:val="center"/>
      </w:pPr>
    </w:p>
    <w:p>
      <w:pPr>
        <w:pStyle w:val="16"/>
        <w:jc w:val="center"/>
      </w:pPr>
      <w:bookmarkStart w:id="58" w:name="_Toc15826"/>
      <w:r>
        <w:rPr>
          <w:rFonts w:hint="eastAsia" w:ascii="宋体" w:eastAsia="宋体"/>
          <w:b/>
          <w:color w:val="000000"/>
          <w:sz w:val="32"/>
          <w:szCs w:val="32"/>
          <w:shd w:val="clear" w:color="auto" w:fill="FFFFFF"/>
        </w:rPr>
        <w:t>十三. 变形验算</w:t>
      </w:r>
      <w:bookmarkEnd w:id="58"/>
    </w:p>
    <w:p>
      <w:pPr>
        <w:pStyle w:val="3"/>
        <w:jc w:val="left"/>
      </w:pPr>
      <w:bookmarkStart w:id="59" w:name="_Toc28094"/>
      <w:r>
        <w:rPr>
          <w:rFonts w:hint="eastAsia" w:ascii="宋体" w:eastAsia="宋体"/>
          <w:b/>
          <w:color w:val="000000"/>
          <w:sz w:val="28"/>
          <w:szCs w:val="28"/>
          <w:shd w:val="clear" w:color="auto" w:fill="FFFFFF"/>
        </w:rPr>
        <w:t>1. 普通结构楼层位移指标统计</w:t>
      </w:r>
      <w:bookmarkEnd w:id="59"/>
    </w:p>
    <w:p>
      <w:pPr>
        <w:spacing w:beforeLines="113" w:afterLines="113" w:line="113" w:lineRule="auto"/>
        <w:jc w:val="left"/>
      </w:pPr>
      <w:r>
        <w:rPr>
          <w:rFonts w:hint="eastAsia" w:ascii="楷体" w:eastAsia="楷体"/>
          <w:b/>
          <w:color w:val="0000FF"/>
          <w:sz w:val="24"/>
          <w:szCs w:val="24"/>
          <w:shd w:val="clear" w:color="auto" w:fill="FFFFFF"/>
        </w:rPr>
        <w:t>根据《高规》3.7.3条规定：对于高度不大于150m的框架结构，按弹性方法计算的风荷载或多遇地震标准值作用下的楼层层间最大水平位移与层高之比△u／h不宜大于1/550，对于高度不小于250m的高层建筑，其楼层层间最大位移与层高之比△u／h不宜大于1/500，结构设定的限值为1/550，结构所有工况下最大层间位移角均满足规范要求。</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3.4.5条规定：结构在考虑偶然偏心影响的规定水平地震力作用下，楼层竖向构件最大的水平位移和层间位移，A级高度高层建筑不宜大于该楼层平均值的1.2倍，不应大于该楼层平均值的1.5倍；B级高度高层建筑、超过A级高度的混合结构及复杂高层建筑不宜大于该楼层平均值的1.2倍，不应大于该楼层平均值的1.4倍。结构设定的判断扭转不规则的位移比为1.20，位移比的限值为1.50，结构不属于扭转不规则。</w:t>
      </w:r>
    </w:p>
    <w:p>
      <w:pPr>
        <w:spacing w:beforeLines="113" w:afterLines="113" w:line="113" w:lineRule="auto"/>
        <w:jc w:val="left"/>
      </w:pPr>
      <w:r>
        <w:rPr>
          <w:rFonts w:hint="eastAsia" w:ascii="楷体" w:eastAsia="楷体"/>
          <w:b/>
          <w:color w:val="0000FF"/>
          <w:sz w:val="24"/>
          <w:szCs w:val="24"/>
          <w:shd w:val="clear" w:color="auto" w:fill="FFFFFF"/>
        </w:rPr>
        <w:t>所有工况下位移比、层间位移比均满足规范要求。</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表中位移的单位为(mm)</w:t>
      </w:r>
    </w:p>
    <w:p>
      <w:pPr>
        <w:spacing w:beforeLines="113" w:afterLines="113" w:line="113" w:lineRule="auto"/>
        <w:jc w:val="left"/>
      </w:pPr>
    </w:p>
    <w:p>
      <w:pPr>
        <w:spacing w:beforeLines="113" w:afterLines="113" w:line="113" w:lineRule="auto"/>
        <w:jc w:val="center"/>
      </w:pPr>
      <w:bookmarkStart w:id="60" w:name="X正偏心静震"/>
      <w:bookmarkEnd w:id="60"/>
      <w:r>
        <w:rPr>
          <w:rFonts w:hint="eastAsia" w:ascii="黑体" w:eastAsia="黑体"/>
          <w:b/>
          <w:color w:val="000000"/>
          <w:sz w:val="26"/>
          <w:szCs w:val="26"/>
          <w:shd w:val="clear" w:color="auto" w:fill="FFFFFF"/>
        </w:rPr>
        <w:t>表13-1 X正偏心静震工况的位移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6.45(15)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5.02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6.45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5.02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1.28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1.28</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6.45（发生在1层1塔）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1.28（发生在1层1塔）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1.28（发生在1层1塔）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1" w:name="X负偏心静震"/>
      <w:bookmarkEnd w:id="61"/>
      <w:r>
        <w:rPr>
          <w:rFonts w:hint="eastAsia" w:ascii="黑体" w:eastAsia="黑体"/>
          <w:b/>
          <w:color w:val="000000"/>
          <w:sz w:val="26"/>
          <w:szCs w:val="26"/>
          <w:shd w:val="clear" w:color="auto" w:fill="FFFFFF"/>
        </w:rPr>
        <w:t>表13-2 X负偏心静震工况的位移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5.36(39)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5.10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5.36</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5.10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1.05</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5.36（发生在1层1塔）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1.05（发生在1层1塔）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1.05（发生在1层1塔）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2" w:name="Y正偏心静震"/>
      <w:bookmarkEnd w:id="62"/>
      <w:r>
        <w:rPr>
          <w:rFonts w:hint="eastAsia" w:ascii="黑体" w:eastAsia="黑体"/>
          <w:b/>
          <w:color w:val="000000"/>
          <w:sz w:val="26"/>
          <w:szCs w:val="26"/>
          <w:shd w:val="clear" w:color="auto" w:fill="FFFFFF"/>
        </w:rPr>
        <w:t>表13-3 Y正偏心静震工况的位移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7.77(16)</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7.69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7.77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7.69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1.01</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7.77（发生在1层1塔）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1.01（发生在1层1塔）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1.01（发生在1层1塔）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3" w:name="Y负偏心静震"/>
      <w:bookmarkEnd w:id="63"/>
      <w:r>
        <w:rPr>
          <w:rFonts w:hint="eastAsia" w:ascii="黑体" w:eastAsia="黑体"/>
          <w:b/>
          <w:color w:val="000000"/>
          <w:sz w:val="26"/>
          <w:szCs w:val="26"/>
          <w:shd w:val="clear" w:color="auto" w:fill="FFFFFF"/>
        </w:rPr>
        <w:t>表13-4 Y负偏心静震工况的位移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7.84(15)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7.69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7.84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7.69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1.02</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7.84（发生在1层1塔）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1.02（发生在1层1塔）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1.02（发生在1层1塔）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表13-5 X向地震工况的位移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6.95(15)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6.95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5.44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1/1093(15)</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6.95（发生在1层1塔）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1/1093（发生在1层1塔）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表13-6 Y向地震工况的位移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7.77(15)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7.77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7.69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1/978(15)</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7.77（发生在1层1塔）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1/978（发生在1层1塔）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表13-7 X向风工况的位移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7.92(39)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7.92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7.41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1/960(39)</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7.92（发生在1层1塔）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1/960（发生在1层1塔）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表13-8 Y向风工况的位移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3.87(16)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3.87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3.87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1/1965(16)</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3.87（发生在1层1塔）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1/1965（发生在1层1塔）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4" w:name="X+Y地震"/>
      <w:bookmarkEnd w:id="64"/>
      <w:r>
        <w:rPr>
          <w:rFonts w:hint="eastAsia" w:ascii="黑体" w:eastAsia="黑体"/>
          <w:b/>
          <w:color w:val="000000"/>
          <w:sz w:val="26"/>
          <w:szCs w:val="26"/>
          <w:shd w:val="clear" w:color="auto" w:fill="FFFFFF"/>
        </w:rPr>
        <w:t>表13-9 X+Y地震(双向效应)工况的位移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6.96(15)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6.96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5.44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1/1092(15)</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6.96（发生在1层1塔）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1/1092（发生在1层1塔）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5" w:name="Y+X地震"/>
      <w:bookmarkEnd w:id="65"/>
      <w:r>
        <w:rPr>
          <w:rFonts w:hint="eastAsia" w:ascii="黑体" w:eastAsia="黑体"/>
          <w:b/>
          <w:color w:val="000000"/>
          <w:sz w:val="26"/>
          <w:szCs w:val="26"/>
          <w:shd w:val="clear" w:color="auto" w:fill="FFFFFF"/>
        </w:rPr>
        <w:t>表13-10 Y+X地震(双向效应)工况的位移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7.80(15)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7.80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7.73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1/974(15)</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7.80（发生在1层1塔）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1/974（发生在1层1塔）</w:t>
      </w:r>
    </w:p>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6" name="图表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r>
        <w:rPr>
          <w:rFonts w:hint="eastAsia" w:ascii="宋体" w:eastAsia="宋体"/>
          <w:b w:val="0"/>
          <w:color w:val="000000"/>
          <w:sz w:val="24"/>
          <w:szCs w:val="24"/>
          <w:shd w:val="clear" w:color="auto" w:fill="FFFFFF"/>
        </w:rPr>
        <w:t>图13-1 最大位移简图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7" name="图表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r>
        <w:rPr>
          <w:rFonts w:hint="eastAsia" w:ascii="宋体" w:eastAsia="宋体"/>
          <w:b w:val="0"/>
          <w:color w:val="000000"/>
          <w:sz w:val="24"/>
          <w:szCs w:val="24"/>
          <w:shd w:val="clear" w:color="auto" w:fill="FFFFFF"/>
        </w:rPr>
        <w:t>图13-2 平均位移简图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8" name="图表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r>
        <w:rPr>
          <w:rFonts w:hint="eastAsia" w:ascii="宋体" w:eastAsia="宋体"/>
          <w:b w:val="0"/>
          <w:color w:val="000000"/>
          <w:sz w:val="24"/>
          <w:szCs w:val="24"/>
          <w:shd w:val="clear" w:color="auto" w:fill="FFFFFF"/>
        </w:rPr>
        <w:t>图13-3 最大层间位移简图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9" name="图表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r>
        <w:rPr>
          <w:rFonts w:hint="eastAsia" w:ascii="宋体" w:eastAsia="宋体"/>
          <w:b w:val="0"/>
          <w:color w:val="000000"/>
          <w:sz w:val="24"/>
          <w:szCs w:val="24"/>
          <w:shd w:val="clear" w:color="auto" w:fill="FFFFFF"/>
        </w:rPr>
        <w:t>图13-4 平均层间位移简图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0" name="图表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r>
        <w:rPr>
          <w:rFonts w:hint="eastAsia" w:ascii="宋体" w:eastAsia="宋体"/>
          <w:b w:val="0"/>
          <w:color w:val="000000"/>
          <w:sz w:val="24"/>
          <w:szCs w:val="24"/>
          <w:shd w:val="clear" w:color="auto" w:fill="FFFFFF"/>
        </w:rPr>
        <w:t>图13-5 位移比简图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1" name="图表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r>
        <w:rPr>
          <w:rFonts w:hint="eastAsia" w:ascii="宋体" w:eastAsia="宋体"/>
          <w:b w:val="0"/>
          <w:color w:val="000000"/>
          <w:sz w:val="24"/>
          <w:szCs w:val="24"/>
          <w:shd w:val="clear" w:color="auto" w:fill="FFFFFF"/>
        </w:rPr>
        <w:t>图13-6 层间位移比简图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2" name="图表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r>
        <w:rPr>
          <w:rFonts w:hint="eastAsia" w:ascii="宋体" w:eastAsia="宋体"/>
          <w:b w:val="0"/>
          <w:color w:val="000000"/>
          <w:sz w:val="24"/>
          <w:szCs w:val="24"/>
          <w:shd w:val="clear" w:color="auto" w:fill="FFFFFF"/>
        </w:rPr>
        <w:t>图13-7 最大层间位移角简图</w:t>
      </w:r>
    </w:p>
    <w:p>
      <w:pPr>
        <w:spacing w:beforeLines="113" w:afterLines="113" w:line="113" w:lineRule="auto"/>
        <w:jc w:val="center"/>
      </w:pPr>
    </w:p>
    <w:p>
      <w:pPr>
        <w:pStyle w:val="3"/>
        <w:jc w:val="left"/>
      </w:pPr>
      <w:bookmarkStart w:id="66" w:name="_Toc28947"/>
      <w:r>
        <w:rPr>
          <w:rFonts w:hint="eastAsia" w:ascii="宋体" w:eastAsia="宋体"/>
          <w:b/>
          <w:color w:val="000000"/>
          <w:sz w:val="28"/>
          <w:szCs w:val="28"/>
          <w:shd w:val="clear" w:color="auto" w:fill="FFFFFF"/>
        </w:rPr>
        <w:t>2. 大震下弹塑性层间位移角</w:t>
      </w:r>
      <w:bookmarkEnd w:id="66"/>
    </w:p>
    <w:p>
      <w:pPr>
        <w:spacing w:beforeLines="113" w:afterLines="113" w:line="113" w:lineRule="auto"/>
        <w:jc w:val="center"/>
      </w:pPr>
      <w:r>
        <w:rPr>
          <w:rFonts w:hint="eastAsia" w:ascii="宋体" w:eastAsia="宋体"/>
          <w:b w:val="0"/>
          <w:color w:val="000000"/>
          <w:sz w:val="24"/>
          <w:szCs w:val="24"/>
          <w:shd w:val="clear" w:color="auto" w:fill="FFFFFF"/>
        </w:rPr>
        <w:t>（本计算适合于不超过12层的规则框架，其余情况仅作参考）</w:t>
      </w:r>
    </w:p>
    <w:p>
      <w:pPr>
        <w:spacing w:beforeLines="113" w:afterLines="113" w:line="113" w:lineRule="auto"/>
        <w:jc w:val="left"/>
      </w:pPr>
      <w:r>
        <w:rPr>
          <w:rFonts w:hint="eastAsia" w:ascii="宋体" w:eastAsia="宋体"/>
          <w:b w:val="0"/>
          <w:color w:val="000000"/>
          <w:sz w:val="24"/>
          <w:szCs w:val="24"/>
          <w:shd w:val="clear" w:color="auto" w:fill="FFFFFF"/>
        </w:rPr>
        <w:t>符号说明</w:t>
      </w:r>
    </w:p>
    <w:p>
      <w:pPr>
        <w:spacing w:beforeLines="113" w:afterLines="113" w:line="113" w:lineRule="auto"/>
        <w:jc w:val="left"/>
      </w:pPr>
      <w:r>
        <w:rPr>
          <w:rFonts w:hint="eastAsia" w:ascii="宋体" w:eastAsia="宋体"/>
          <w:b/>
          <w:color w:val="8A2BE2"/>
          <w:sz w:val="24"/>
          <w:szCs w:val="24"/>
          <w:shd w:val="clear" w:color="auto" w:fill="FFFFFF"/>
        </w:rPr>
        <w:t xml:space="preserve">Qy:     </w:t>
      </w:r>
      <w:r>
        <w:rPr>
          <w:rFonts w:hint="eastAsia" w:ascii="宋体" w:eastAsia="宋体"/>
          <w:b w:val="0"/>
          <w:color w:val="000000"/>
          <w:sz w:val="24"/>
          <w:szCs w:val="24"/>
          <w:shd w:val="clear" w:color="auto" w:fill="FFFFFF"/>
        </w:rPr>
        <w:t>楼层受剪承载力</w:t>
      </w:r>
    </w:p>
    <w:p>
      <w:pPr>
        <w:spacing w:beforeLines="113" w:afterLines="113" w:line="113" w:lineRule="auto"/>
        <w:jc w:val="left"/>
      </w:pPr>
      <w:r>
        <w:rPr>
          <w:rFonts w:hint="eastAsia" w:ascii="宋体" w:eastAsia="宋体"/>
          <w:b/>
          <w:color w:val="8A2BE2"/>
          <w:sz w:val="24"/>
          <w:szCs w:val="24"/>
          <w:shd w:val="clear" w:color="auto" w:fill="FFFFFF"/>
        </w:rPr>
        <w:t xml:space="preserve">Qe:     </w:t>
      </w:r>
      <w:r>
        <w:rPr>
          <w:rFonts w:hint="eastAsia" w:ascii="宋体" w:eastAsia="宋体"/>
          <w:b w:val="0"/>
          <w:color w:val="000000"/>
          <w:sz w:val="24"/>
          <w:szCs w:val="24"/>
          <w:shd w:val="clear" w:color="auto" w:fill="FFFFFF"/>
        </w:rPr>
        <w:t>大震下楼层弹性剪力</w:t>
      </w:r>
    </w:p>
    <w:p>
      <w:pPr>
        <w:spacing w:beforeLines="113" w:afterLines="113" w:line="113" w:lineRule="auto"/>
        <w:jc w:val="left"/>
      </w:pPr>
      <w:r>
        <w:rPr>
          <w:rFonts w:hint="eastAsia" w:ascii="宋体" w:eastAsia="宋体"/>
          <w:b/>
          <w:color w:val="8A2BE2"/>
          <w:sz w:val="24"/>
          <w:szCs w:val="24"/>
          <w:shd w:val="clear" w:color="auto" w:fill="FFFFFF"/>
        </w:rPr>
        <w:t xml:space="preserve">Ksiy:   </w:t>
      </w:r>
      <w:r>
        <w:rPr>
          <w:rFonts w:hint="eastAsia" w:ascii="宋体" w:eastAsia="宋体"/>
          <w:b w:val="0"/>
          <w:color w:val="000000"/>
          <w:sz w:val="24"/>
          <w:szCs w:val="24"/>
          <w:shd w:val="clear" w:color="auto" w:fill="FFFFFF"/>
        </w:rPr>
        <w:t>楼层屈服强度系数</w:t>
      </w:r>
    </w:p>
    <w:p>
      <w:pPr>
        <w:spacing w:beforeLines="113" w:afterLines="113" w:line="113" w:lineRule="auto"/>
        <w:jc w:val="left"/>
      </w:pPr>
      <w:r>
        <w:rPr>
          <w:rFonts w:hint="eastAsia" w:ascii="宋体" w:eastAsia="宋体"/>
          <w:b/>
          <w:color w:val="8A2BE2"/>
          <w:sz w:val="24"/>
          <w:szCs w:val="24"/>
          <w:shd w:val="clear" w:color="auto" w:fill="FFFFFF"/>
        </w:rPr>
        <w:t xml:space="preserve">Ytap:   </w:t>
      </w:r>
      <w:r>
        <w:rPr>
          <w:rFonts w:hint="eastAsia" w:ascii="宋体" w:eastAsia="宋体"/>
          <w:b w:val="0"/>
          <w:color w:val="000000"/>
          <w:sz w:val="24"/>
          <w:szCs w:val="24"/>
          <w:shd w:val="clear" w:color="auto" w:fill="FFFFFF"/>
        </w:rPr>
        <w:t>弹塑性层间位移增大系数</w:t>
      </w:r>
    </w:p>
    <w:p>
      <w:pPr>
        <w:spacing w:beforeLines="113" w:afterLines="113" w:line="113" w:lineRule="auto"/>
        <w:jc w:val="left"/>
      </w:pPr>
      <w:r>
        <w:rPr>
          <w:rFonts w:hint="eastAsia" w:ascii="宋体" w:eastAsia="宋体"/>
          <w:b/>
          <w:color w:val="8A2BE2"/>
          <w:sz w:val="24"/>
          <w:szCs w:val="24"/>
          <w:shd w:val="clear" w:color="auto" w:fill="FFFFFF"/>
        </w:rPr>
        <w:t xml:space="preserve">dUe:    </w:t>
      </w:r>
      <w:r>
        <w:rPr>
          <w:rFonts w:hint="eastAsia" w:ascii="宋体" w:eastAsia="宋体"/>
          <w:b w:val="0"/>
          <w:color w:val="000000"/>
          <w:sz w:val="24"/>
          <w:szCs w:val="24"/>
          <w:shd w:val="clear" w:color="auto" w:fill="FFFFFF"/>
        </w:rPr>
        <w:t>大震下楼层弹性平均层间位移角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dUp:    </w:t>
      </w:r>
      <w:r>
        <w:rPr>
          <w:rFonts w:hint="eastAsia" w:ascii="宋体" w:eastAsia="宋体"/>
          <w:b w:val="0"/>
          <w:color w:val="000000"/>
          <w:sz w:val="24"/>
          <w:szCs w:val="24"/>
          <w:shd w:val="clear" w:color="auto" w:fill="FFFFFF"/>
        </w:rPr>
        <w:t>大震下楼层弹塑性平均层间位移角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dUeMax: </w:t>
      </w:r>
      <w:r>
        <w:rPr>
          <w:rFonts w:hint="eastAsia" w:ascii="宋体" w:eastAsia="宋体"/>
          <w:b w:val="0"/>
          <w:color w:val="000000"/>
          <w:sz w:val="24"/>
          <w:szCs w:val="24"/>
          <w:shd w:val="clear" w:color="auto" w:fill="FFFFFF"/>
        </w:rPr>
        <w:t>大震下楼层弹性最大层间位移角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dUpMax: </w:t>
      </w:r>
      <w:r>
        <w:rPr>
          <w:rFonts w:hint="eastAsia" w:ascii="宋体" w:eastAsia="宋体"/>
          <w:b w:val="0"/>
          <w:color w:val="000000"/>
          <w:sz w:val="24"/>
          <w:szCs w:val="24"/>
          <w:shd w:val="clear" w:color="auto" w:fill="FFFFFF"/>
        </w:rPr>
        <w:t>大震下楼层弹塑性最大层间位移角</w:t>
      </w:r>
    </w:p>
    <w:p>
      <w:pPr>
        <w:spacing w:beforeLines="113" w:afterLines="113" w:line="113" w:lineRule="auto"/>
        <w:jc w:val="center"/>
      </w:pPr>
      <w:r>
        <w:rPr>
          <w:rFonts w:hint="eastAsia" w:ascii="黑体" w:eastAsia="黑体"/>
          <w:b/>
          <w:color w:val="000000"/>
          <w:sz w:val="26"/>
          <w:szCs w:val="26"/>
          <w:shd w:val="clear" w:color="auto" w:fill="FFFFFF"/>
        </w:rPr>
        <w:t>表13-11 X向地震工况下的楼层位移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Qy(kN)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Qe(kN)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Ksiy</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Ytap</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dUeMax</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dUpMax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1081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1195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0.90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1/174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1/134</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表13-12 Y向地震工况下的楼层位移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Qy(kN)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Qe(kN)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Ksiy</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Ytap</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dUeMax</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dUpMax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514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1280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0.40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1/174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1/134</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3" name="图表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r>
        <w:rPr>
          <w:rFonts w:hint="eastAsia" w:ascii="宋体" w:eastAsia="宋体"/>
          <w:b w:val="0"/>
          <w:color w:val="000000"/>
          <w:sz w:val="24"/>
          <w:szCs w:val="24"/>
          <w:shd w:val="clear" w:color="auto" w:fill="FFFFFF"/>
        </w:rPr>
        <w:t>图13-8 抗剪承载力简图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4" name="图表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r>
        <w:rPr>
          <w:rFonts w:hint="eastAsia" w:ascii="宋体" w:eastAsia="宋体"/>
          <w:b w:val="0"/>
          <w:color w:val="000000"/>
          <w:sz w:val="24"/>
          <w:szCs w:val="24"/>
          <w:shd w:val="clear" w:color="auto" w:fill="FFFFFF"/>
        </w:rPr>
        <w:t>图13-9 弹性剪力简图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5" name="图表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r>
        <w:rPr>
          <w:rFonts w:hint="eastAsia" w:ascii="宋体" w:eastAsia="宋体"/>
          <w:b w:val="0"/>
          <w:color w:val="000000"/>
          <w:sz w:val="24"/>
          <w:szCs w:val="24"/>
          <w:shd w:val="clear" w:color="auto" w:fill="FFFFFF"/>
        </w:rPr>
        <w:t>图13-10 屈服强度系数简图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6" name="图表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r>
        <w:rPr>
          <w:rFonts w:hint="eastAsia" w:ascii="宋体" w:eastAsia="宋体"/>
          <w:b w:val="0"/>
          <w:color w:val="000000"/>
          <w:sz w:val="24"/>
          <w:szCs w:val="24"/>
          <w:shd w:val="clear" w:color="auto" w:fill="FFFFFF"/>
        </w:rPr>
        <w:t>图13-11 弹塑性层间位移增大系数简图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7" name="图表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r>
        <w:rPr>
          <w:rFonts w:hint="eastAsia" w:ascii="宋体" w:eastAsia="宋体"/>
          <w:b w:val="0"/>
          <w:color w:val="000000"/>
          <w:sz w:val="24"/>
          <w:szCs w:val="24"/>
          <w:shd w:val="clear" w:color="auto" w:fill="FFFFFF"/>
        </w:rPr>
        <w:t>图13-12 大震下楼层弹性最大层间位移角简图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8" name="图表 38"/>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r>
        <w:rPr>
          <w:rFonts w:hint="eastAsia" w:ascii="宋体" w:eastAsia="宋体"/>
          <w:b w:val="0"/>
          <w:color w:val="000000"/>
          <w:sz w:val="24"/>
          <w:szCs w:val="24"/>
          <w:shd w:val="clear" w:color="auto" w:fill="FFFFFF"/>
        </w:rPr>
        <w:t>图13-13 大震下楼层弹塑性最大层间位移角简图</w:t>
      </w:r>
    </w:p>
    <w:p>
      <w:pPr>
        <w:spacing w:beforeLines="113" w:afterLines="113" w:line="113" w:lineRule="auto"/>
        <w:jc w:val="center"/>
      </w:pPr>
    </w:p>
    <w:p>
      <w:pPr>
        <w:pStyle w:val="16"/>
        <w:jc w:val="left"/>
      </w:pPr>
      <w:bookmarkStart w:id="67" w:name="_Toc21622"/>
      <w:r>
        <w:rPr>
          <w:rFonts w:hint="eastAsia" w:ascii="宋体" w:eastAsia="宋体"/>
          <w:b/>
          <w:color w:val="000000"/>
          <w:sz w:val="32"/>
          <w:szCs w:val="32"/>
          <w:shd w:val="clear" w:color="auto" w:fill="FFFFFF"/>
        </w:rPr>
        <w:t>十四. 结构顶点风振加速度</w:t>
      </w:r>
      <w:bookmarkEnd w:id="67"/>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根据《高规》3.7.6 条：房屋高度不小于150m的高层混凝土建筑结构应满足风振舒适度要求。在10年一遇的风荷载标准值作用下，结构顶点的顺风向和横风向振动最大加速度计算值对于住宅、公寓不应超过0.15 m/s2，对于办公、旅馆不应超过0.25 m/s2。</w:t>
      </w:r>
    </w:p>
    <w:p>
      <w:pPr>
        <w:spacing w:beforeLines="113" w:afterLines="113" w:line="113" w:lineRule="auto"/>
        <w:jc w:val="left"/>
      </w:pPr>
      <w:r>
        <w:rPr>
          <w:rFonts w:hint="eastAsia" w:ascii="楷体" w:eastAsia="楷体"/>
          <w:b/>
          <w:color w:val="0000FF"/>
          <w:sz w:val="24"/>
          <w:szCs w:val="24"/>
          <w:shd w:val="clear" w:color="auto" w:fill="FFFFFF"/>
        </w:rPr>
        <w:t>《高钢规》3.5.5 条规定：房屋高度不小于150m的高层民用建筑钢结构在10年一遇的风荷载标准值作用下，结构顶点的顺风向和横风向振动最大加速度计算值对于住宅、公寓不应超过0.20 m/s2，对于办公、旅馆不应超过0.28 m/s2。</w:t>
      </w:r>
    </w:p>
    <w:p>
      <w:pPr>
        <w:spacing w:beforeLines="113" w:afterLines="113" w:line="113" w:lineRule="auto"/>
        <w:jc w:val="left"/>
      </w:pPr>
      <w:r>
        <w:rPr>
          <w:rFonts w:hint="eastAsia" w:ascii="楷体" w:eastAsia="楷体"/>
          <w:b/>
          <w:color w:val="0000FF"/>
          <w:sz w:val="24"/>
          <w:szCs w:val="24"/>
          <w:shd w:val="clear" w:color="auto" w:fill="FFFFFF"/>
        </w:rPr>
        <w:t>具体的计算方法依据《荷载规范》附录J。</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表14-1 风振加速度</w:t>
      </w:r>
    </w:p>
    <w:tbl>
      <w:tblPr>
        <w:tblStyle w:val="29"/>
        <w:tblW w:w="272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7"/>
        <w:gridCol w:w="90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顺风向</w:t>
            </w:r>
          </w:p>
        </w:tc>
        <w:tc>
          <w:tcPr>
            <w:tcW w:w="90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横风向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0.453</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0.449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0.178</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0.077</w:t>
            </w:r>
          </w:p>
        </w:tc>
      </w:tr>
    </w:tbl>
    <w:p>
      <w:pPr>
        <w:spacing w:beforeLines="113" w:afterLines="113" w:line="113" w:lineRule="auto"/>
        <w:jc w:val="left"/>
      </w:pPr>
    </w:p>
    <w:p>
      <w:pPr>
        <w:pStyle w:val="16"/>
        <w:jc w:val="center"/>
      </w:pPr>
      <w:bookmarkStart w:id="68" w:name="_Toc11799"/>
      <w:r>
        <w:rPr>
          <w:rFonts w:hint="eastAsia" w:ascii="宋体" w:eastAsia="宋体"/>
          <w:b/>
          <w:color w:val="000000"/>
          <w:sz w:val="32"/>
          <w:szCs w:val="32"/>
          <w:shd w:val="clear" w:color="auto" w:fill="FFFFFF"/>
        </w:rPr>
        <w:t>十五. 抗倾覆和稳定验算</w:t>
      </w:r>
      <w:bookmarkEnd w:id="68"/>
    </w:p>
    <w:p>
      <w:pPr>
        <w:pStyle w:val="3"/>
        <w:jc w:val="left"/>
      </w:pPr>
      <w:bookmarkStart w:id="69" w:name="_Toc29193"/>
      <w:r>
        <w:rPr>
          <w:rFonts w:hint="eastAsia" w:ascii="宋体" w:eastAsia="宋体"/>
          <w:b/>
          <w:color w:val="000000"/>
          <w:sz w:val="28"/>
          <w:szCs w:val="28"/>
          <w:shd w:val="clear" w:color="auto" w:fill="FFFFFF"/>
        </w:rPr>
        <w:t>1. 抗倾覆验算</w:t>
      </w:r>
      <w:bookmarkEnd w:id="69"/>
    </w:p>
    <w:p>
      <w:pPr>
        <w:spacing w:beforeLines="113" w:afterLines="113" w:line="113" w:lineRule="auto"/>
        <w:jc w:val="left"/>
      </w:pPr>
      <w:r>
        <w:rPr>
          <w:rFonts w:hint="eastAsia" w:ascii="楷体" w:eastAsia="楷体"/>
          <w:b/>
          <w:color w:val="0000FF"/>
          <w:sz w:val="24"/>
          <w:szCs w:val="24"/>
          <w:shd w:val="clear" w:color="auto" w:fill="FFFFFF"/>
        </w:rPr>
        <w:t>根据《高规》12.1.7条，在重力荷载与水平荷载标准值或重力荷载代表值与多遇水平地震标准值共同作用下，高宽比大于4的高层建筑，基础底面不宜出现零应力区；高宽比不大于4的高层建筑，基础底面与地基之间零应力区面积不应超过基础底面面积的15％。</w:t>
      </w:r>
    </w:p>
    <w:p>
      <w:pPr>
        <w:spacing w:beforeLines="113" w:afterLines="113" w:line="113" w:lineRule="auto"/>
        <w:jc w:val="left"/>
      </w:pPr>
      <w:r>
        <w:rPr>
          <w:rFonts w:hint="eastAsia" w:ascii="楷体" w:eastAsia="楷体"/>
          <w:b/>
          <w:color w:val="0000FF"/>
          <w:sz w:val="24"/>
          <w:szCs w:val="24"/>
          <w:shd w:val="clear" w:color="auto" w:fill="FFFFFF"/>
        </w:rPr>
        <w:t>结构的抗倾覆验算结果如下：</w:t>
      </w:r>
    </w:p>
    <w:p>
      <w:pPr>
        <w:spacing w:beforeLines="113" w:afterLines="113" w:line="113" w:lineRule="auto"/>
        <w:jc w:val="center"/>
      </w:pPr>
      <w:r>
        <w:rPr>
          <w:rFonts w:hint="eastAsia" w:ascii="黑体" w:eastAsia="黑体"/>
          <w:b/>
          <w:color w:val="000000"/>
          <w:sz w:val="26"/>
          <w:szCs w:val="26"/>
          <w:shd w:val="clear" w:color="auto" w:fill="FFFFFF"/>
        </w:rPr>
        <w:t>表15-1 抗倾覆验算</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2111"/>
        <w:gridCol w:w="2111"/>
        <w:gridCol w:w="1997"/>
        <w:gridCol w:w="199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w:t>
            </w:r>
          </w:p>
        </w:tc>
        <w:tc>
          <w:tcPr>
            <w:tcW w:w="209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抗倾覆力矩Mr(kN.m)</w:t>
            </w:r>
          </w:p>
        </w:tc>
        <w:tc>
          <w:tcPr>
            <w:tcW w:w="209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倾覆力矩Mov(kN.m)</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比值Mr/Mov</w:t>
            </w:r>
          </w:p>
        </w:tc>
        <w:tc>
          <w:tcPr>
            <w:tcW w:w="198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零应力区(%)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EX</w:t>
            </w:r>
          </w:p>
        </w:tc>
        <w:tc>
          <w:tcPr>
            <w:tcW w:w="2097" w:type="dxa"/>
            <w:shd w:val="clear" w:color="auto" w:fill="FFFFFF"/>
          </w:tcPr>
          <w:p>
            <w:pPr>
              <w:jc w:val="center"/>
            </w:pPr>
            <w:r>
              <w:rPr>
                <w:rFonts w:hint="eastAsia" w:ascii="宋体" w:eastAsia="宋体"/>
                <w:b w:val="0"/>
                <w:color w:val="000000"/>
                <w:sz w:val="24"/>
                <w:szCs w:val="24"/>
                <w:shd w:val="clear" w:color="auto" w:fill="FFFFFF"/>
              </w:rPr>
              <w:t>10927.22</w:t>
            </w:r>
          </w:p>
        </w:tc>
        <w:tc>
          <w:tcPr>
            <w:tcW w:w="2097" w:type="dxa"/>
            <w:shd w:val="clear" w:color="auto" w:fill="FFFFFF"/>
          </w:tcPr>
          <w:p>
            <w:pPr>
              <w:jc w:val="center"/>
            </w:pPr>
            <w:r>
              <w:rPr>
                <w:rFonts w:hint="eastAsia" w:ascii="宋体" w:eastAsia="宋体"/>
                <w:b w:val="0"/>
                <w:color w:val="000000"/>
                <w:sz w:val="24"/>
                <w:szCs w:val="24"/>
                <w:shd w:val="clear" w:color="auto" w:fill="FFFFFF"/>
              </w:rPr>
              <w:t xml:space="preserve"> 968.41</w:t>
            </w:r>
          </w:p>
        </w:tc>
        <w:tc>
          <w:tcPr>
            <w:tcW w:w="1984" w:type="dxa"/>
            <w:shd w:val="clear" w:color="auto" w:fill="FFFFFF"/>
          </w:tcPr>
          <w:p>
            <w:pPr>
              <w:jc w:val="center"/>
            </w:pPr>
            <w:r>
              <w:rPr>
                <w:rFonts w:hint="eastAsia" w:ascii="宋体" w:eastAsia="宋体"/>
                <w:b w:val="0"/>
                <w:color w:val="000000"/>
                <w:sz w:val="24"/>
                <w:szCs w:val="24"/>
                <w:shd w:val="clear" w:color="auto" w:fill="FFFFFF"/>
              </w:rPr>
              <w:t>11.28</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EY</w:t>
            </w:r>
          </w:p>
        </w:tc>
        <w:tc>
          <w:tcPr>
            <w:tcW w:w="2097" w:type="dxa"/>
            <w:shd w:val="clear" w:color="auto" w:fill="FFFFFF"/>
          </w:tcPr>
          <w:p>
            <w:pPr>
              <w:jc w:val="center"/>
            </w:pPr>
            <w:r>
              <w:rPr>
                <w:rFonts w:hint="eastAsia" w:ascii="宋体" w:eastAsia="宋体"/>
                <w:b w:val="0"/>
                <w:color w:val="000000"/>
                <w:sz w:val="24"/>
                <w:szCs w:val="24"/>
                <w:shd w:val="clear" w:color="auto" w:fill="FFFFFF"/>
              </w:rPr>
              <w:t>27979.39</w:t>
            </w:r>
          </w:p>
        </w:tc>
        <w:tc>
          <w:tcPr>
            <w:tcW w:w="2097" w:type="dxa"/>
            <w:shd w:val="clear" w:color="auto" w:fill="FFFFFF"/>
          </w:tcPr>
          <w:p>
            <w:pPr>
              <w:jc w:val="center"/>
            </w:pPr>
            <w:r>
              <w:rPr>
                <w:rFonts w:hint="eastAsia" w:ascii="宋体" w:eastAsia="宋体"/>
                <w:b w:val="0"/>
                <w:color w:val="000000"/>
                <w:sz w:val="24"/>
                <w:szCs w:val="24"/>
                <w:shd w:val="clear" w:color="auto" w:fill="FFFFFF"/>
              </w:rPr>
              <w:t>1037.47</w:t>
            </w:r>
          </w:p>
        </w:tc>
        <w:tc>
          <w:tcPr>
            <w:tcW w:w="1984" w:type="dxa"/>
            <w:shd w:val="clear" w:color="auto" w:fill="FFFFFF"/>
          </w:tcPr>
          <w:p>
            <w:pPr>
              <w:jc w:val="center"/>
            </w:pPr>
            <w:r>
              <w:rPr>
                <w:rFonts w:hint="eastAsia" w:ascii="宋体" w:eastAsia="宋体"/>
                <w:b w:val="0"/>
                <w:color w:val="000000"/>
                <w:sz w:val="24"/>
                <w:szCs w:val="24"/>
                <w:shd w:val="clear" w:color="auto" w:fill="FFFFFF"/>
              </w:rPr>
              <w:t>26.97</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WX</w:t>
            </w:r>
          </w:p>
        </w:tc>
        <w:tc>
          <w:tcPr>
            <w:tcW w:w="2097" w:type="dxa"/>
            <w:shd w:val="clear" w:color="auto" w:fill="FFFFFF"/>
          </w:tcPr>
          <w:p>
            <w:pPr>
              <w:jc w:val="center"/>
            </w:pPr>
            <w:r>
              <w:rPr>
                <w:rFonts w:hint="eastAsia" w:ascii="宋体" w:eastAsia="宋体"/>
                <w:b w:val="0"/>
                <w:color w:val="000000"/>
                <w:sz w:val="24"/>
                <w:szCs w:val="24"/>
                <w:shd w:val="clear" w:color="auto" w:fill="FFFFFF"/>
              </w:rPr>
              <w:t>11026.46</w:t>
            </w:r>
          </w:p>
        </w:tc>
        <w:tc>
          <w:tcPr>
            <w:tcW w:w="2097" w:type="dxa"/>
            <w:shd w:val="clear" w:color="auto" w:fill="FFFFFF"/>
          </w:tcPr>
          <w:p>
            <w:pPr>
              <w:jc w:val="center"/>
            </w:pPr>
            <w:r>
              <w:rPr>
                <w:rFonts w:hint="eastAsia" w:ascii="宋体" w:eastAsia="宋体"/>
                <w:b w:val="0"/>
                <w:color w:val="000000"/>
                <w:sz w:val="24"/>
                <w:szCs w:val="24"/>
                <w:shd w:val="clear" w:color="auto" w:fill="FFFFFF"/>
              </w:rPr>
              <w:t>1406.72</w:t>
            </w:r>
          </w:p>
        </w:tc>
        <w:tc>
          <w:tcPr>
            <w:tcW w:w="1984" w:type="dxa"/>
            <w:shd w:val="clear" w:color="auto" w:fill="FFFFFF"/>
          </w:tcPr>
          <w:p>
            <w:pPr>
              <w:jc w:val="center"/>
            </w:pPr>
            <w:r>
              <w:rPr>
                <w:rFonts w:hint="eastAsia" w:ascii="宋体" w:eastAsia="宋体"/>
                <w:b w:val="0"/>
                <w:color w:val="000000"/>
                <w:sz w:val="24"/>
                <w:szCs w:val="24"/>
                <w:shd w:val="clear" w:color="auto" w:fill="FFFFFF"/>
              </w:rPr>
              <w:t xml:space="preserve"> 7.84</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WY</w:t>
            </w:r>
          </w:p>
        </w:tc>
        <w:tc>
          <w:tcPr>
            <w:tcW w:w="2097" w:type="dxa"/>
            <w:shd w:val="clear" w:color="auto" w:fill="FFFFFF"/>
          </w:tcPr>
          <w:p>
            <w:pPr>
              <w:jc w:val="center"/>
            </w:pPr>
            <w:r>
              <w:rPr>
                <w:rFonts w:hint="eastAsia" w:ascii="宋体" w:eastAsia="宋体"/>
                <w:b w:val="0"/>
                <w:color w:val="000000"/>
                <w:sz w:val="24"/>
                <w:szCs w:val="24"/>
                <w:shd w:val="clear" w:color="auto" w:fill="FFFFFF"/>
              </w:rPr>
              <w:t>28256.63</w:t>
            </w:r>
          </w:p>
        </w:tc>
        <w:tc>
          <w:tcPr>
            <w:tcW w:w="2097" w:type="dxa"/>
            <w:shd w:val="clear" w:color="auto" w:fill="FFFFFF"/>
          </w:tcPr>
          <w:p>
            <w:pPr>
              <w:jc w:val="center"/>
            </w:pPr>
            <w:r>
              <w:rPr>
                <w:rFonts w:hint="eastAsia" w:ascii="宋体" w:eastAsia="宋体"/>
                <w:b w:val="0"/>
                <w:color w:val="000000"/>
                <w:sz w:val="24"/>
                <w:szCs w:val="24"/>
                <w:shd w:val="clear" w:color="auto" w:fill="FFFFFF"/>
              </w:rPr>
              <w:t xml:space="preserve"> 521.96</w:t>
            </w:r>
          </w:p>
        </w:tc>
        <w:tc>
          <w:tcPr>
            <w:tcW w:w="1984" w:type="dxa"/>
            <w:shd w:val="clear" w:color="auto" w:fill="FFFFFF"/>
          </w:tcPr>
          <w:p>
            <w:pPr>
              <w:jc w:val="center"/>
            </w:pPr>
            <w:r>
              <w:rPr>
                <w:rFonts w:hint="eastAsia" w:ascii="宋体" w:eastAsia="宋体"/>
                <w:b w:val="0"/>
                <w:color w:val="000000"/>
                <w:sz w:val="24"/>
                <w:szCs w:val="24"/>
                <w:shd w:val="clear" w:color="auto" w:fill="FFFFFF"/>
              </w:rPr>
              <w:t>54.14</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pStyle w:val="3"/>
        <w:jc w:val="left"/>
      </w:pPr>
      <w:bookmarkStart w:id="70" w:name="_Toc24357"/>
      <w:r>
        <w:rPr>
          <w:rFonts w:hint="eastAsia" w:ascii="宋体" w:eastAsia="宋体"/>
          <w:b/>
          <w:color w:val="000000"/>
          <w:sz w:val="28"/>
          <w:szCs w:val="28"/>
          <w:shd w:val="clear" w:color="auto" w:fill="FFFFFF"/>
        </w:rPr>
        <w:t>2. 整体稳定刚重比验算</w:t>
      </w:r>
      <w:bookmarkEnd w:id="70"/>
    </w:p>
    <w:p>
      <w:pPr>
        <w:spacing w:beforeLines="113" w:afterLines="113" w:line="113" w:lineRule="auto"/>
        <w:jc w:val="left"/>
      </w:pPr>
      <w:r>
        <w:rPr>
          <w:rFonts w:hint="eastAsia" w:ascii="宋体" w:eastAsia="宋体"/>
          <w:b w:val="0"/>
          <w:color w:val="000000"/>
          <w:sz w:val="24"/>
          <w:szCs w:val="24"/>
          <w:shd w:val="clear" w:color="auto" w:fill="FFFFFF"/>
        </w:rPr>
        <w:t>刚度单位： kN/m</w:t>
      </w:r>
    </w:p>
    <w:p>
      <w:pPr>
        <w:spacing w:beforeLines="113" w:afterLines="113" w:line="113" w:lineRule="auto"/>
        <w:jc w:val="left"/>
      </w:pPr>
      <w:r>
        <w:rPr>
          <w:rFonts w:hint="eastAsia" w:ascii="宋体" w:eastAsia="宋体"/>
          <w:b w:val="0"/>
          <w:color w:val="000000"/>
          <w:sz w:val="24"/>
          <w:szCs w:val="24"/>
          <w:shd w:val="clear" w:color="auto" w:fill="FFFFFF"/>
        </w:rPr>
        <w:t>层高单位： m</w:t>
      </w:r>
    </w:p>
    <w:p>
      <w:pPr>
        <w:spacing w:beforeLines="113" w:afterLines="113" w:line="113" w:lineRule="auto"/>
        <w:jc w:val="left"/>
      </w:pPr>
      <w:r>
        <w:rPr>
          <w:rFonts w:hint="eastAsia" w:ascii="宋体" w:eastAsia="宋体"/>
          <w:b w:val="0"/>
          <w:color w:val="000000"/>
          <w:sz w:val="24"/>
          <w:szCs w:val="24"/>
          <w:shd w:val="clear" w:color="auto" w:fill="FFFFFF"/>
        </w:rPr>
        <w:t>上部重量单位： kN</w:t>
      </w:r>
    </w:p>
    <w:p>
      <w:pPr>
        <w:spacing w:beforeLines="113" w:afterLines="113" w:line="113" w:lineRule="auto"/>
        <w:jc w:val="center"/>
      </w:pPr>
      <w:r>
        <w:rPr>
          <w:rFonts w:hint="eastAsia" w:ascii="黑体" w:eastAsia="黑体"/>
          <w:b/>
          <w:color w:val="000000"/>
          <w:sz w:val="26"/>
          <w:szCs w:val="26"/>
          <w:shd w:val="clear" w:color="auto" w:fill="FFFFFF"/>
        </w:rPr>
        <w:t>表15-2 整层屈曲模式的刚重比验算[高规5.4.1-2,一般用于剪切型结构]</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474"/>
        <w:gridCol w:w="1474"/>
        <w:gridCol w:w="1587"/>
        <w:gridCol w:w="1134"/>
        <w:gridCol w:w="1134"/>
        <w:gridCol w:w="113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X向刚度</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Y向刚度</w:t>
            </w:r>
          </w:p>
        </w:tc>
        <w:tc>
          <w:tcPr>
            <w:tcW w:w="158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层高</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上部重量</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X刚重比</w:t>
            </w:r>
          </w:p>
        </w:tc>
        <w:tc>
          <w:tcPr>
            <w:tcW w:w="113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Y刚重比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tcPr>
          <w:p>
            <w:pPr>
              <w:jc w:val="center"/>
            </w:pPr>
            <w:r>
              <w:rPr>
                <w:rFonts w:hint="eastAsia" w:ascii="宋体" w:eastAsia="宋体"/>
                <w:b w:val="0"/>
                <w:color w:val="000000"/>
                <w:sz w:val="24"/>
                <w:szCs w:val="24"/>
                <w:shd w:val="clear" w:color="auto" w:fill="FFFFFF"/>
              </w:rPr>
              <w:t>1</w:t>
            </w:r>
          </w:p>
        </w:tc>
        <w:tc>
          <w:tcPr>
            <w:tcW w:w="1474" w:type="dxa"/>
            <w:shd w:val="clear" w:color="auto" w:fill="FFFFFF"/>
          </w:tcPr>
          <w:p>
            <w:pPr>
              <w:jc w:val="center"/>
            </w:pPr>
            <w:r>
              <w:rPr>
                <w:rFonts w:hint="eastAsia" w:ascii="宋体" w:eastAsia="宋体"/>
                <w:b w:val="0"/>
                <w:color w:val="000000"/>
                <w:sz w:val="24"/>
                <w:szCs w:val="24"/>
                <w:shd w:val="clear" w:color="auto" w:fill="FFFFFF"/>
              </w:rPr>
              <w:t>35707.31</w:t>
            </w:r>
          </w:p>
        </w:tc>
        <w:tc>
          <w:tcPr>
            <w:tcW w:w="1474" w:type="dxa"/>
            <w:shd w:val="clear" w:color="auto" w:fill="FFFFFF"/>
          </w:tcPr>
          <w:p>
            <w:pPr>
              <w:jc w:val="center"/>
            </w:pPr>
            <w:r>
              <w:rPr>
                <w:rFonts w:hint="eastAsia" w:ascii="宋体" w:eastAsia="宋体"/>
                <w:b w:val="0"/>
                <w:color w:val="000000"/>
                <w:sz w:val="24"/>
                <w:szCs w:val="24"/>
                <w:shd w:val="clear" w:color="auto" w:fill="FFFFFF"/>
              </w:rPr>
              <w:t>26636.46</w:t>
            </w:r>
          </w:p>
        </w:tc>
        <w:tc>
          <w:tcPr>
            <w:tcW w:w="1587" w:type="dxa"/>
            <w:shd w:val="clear" w:color="auto" w:fill="FFFFFF"/>
          </w:tcPr>
          <w:p>
            <w:pPr>
              <w:jc w:val="center"/>
            </w:pPr>
            <w:r>
              <w:rPr>
                <w:rFonts w:hint="eastAsia" w:ascii="宋体" w:eastAsia="宋体"/>
                <w:b w:val="0"/>
                <w:color w:val="000000"/>
                <w:sz w:val="24"/>
                <w:szCs w:val="24"/>
                <w:shd w:val="clear" w:color="auto" w:fill="FFFFFF"/>
              </w:rPr>
              <w:t>7.60</w:t>
            </w:r>
          </w:p>
        </w:tc>
        <w:tc>
          <w:tcPr>
            <w:tcW w:w="1134" w:type="dxa"/>
            <w:shd w:val="clear" w:color="auto" w:fill="FFFFFF"/>
          </w:tcPr>
          <w:p>
            <w:pPr>
              <w:jc w:val="center"/>
            </w:pPr>
            <w:r>
              <w:rPr>
                <w:rFonts w:hint="eastAsia" w:ascii="宋体" w:eastAsia="宋体"/>
                <w:b w:val="0"/>
                <w:color w:val="000000"/>
                <w:sz w:val="24"/>
                <w:szCs w:val="24"/>
                <w:shd w:val="clear" w:color="auto" w:fill="FFFFFF"/>
              </w:rPr>
              <w:t>3424.83</w:t>
            </w:r>
          </w:p>
        </w:tc>
        <w:tc>
          <w:tcPr>
            <w:tcW w:w="1134" w:type="dxa"/>
            <w:shd w:val="clear" w:color="auto" w:fill="FFFFFF"/>
          </w:tcPr>
          <w:p>
            <w:pPr>
              <w:jc w:val="center"/>
            </w:pPr>
            <w:r>
              <w:rPr>
                <w:rFonts w:hint="eastAsia" w:ascii="宋体" w:eastAsia="宋体"/>
                <w:b w:val="0"/>
                <w:color w:val="000000"/>
                <w:sz w:val="24"/>
                <w:szCs w:val="24"/>
                <w:shd w:val="clear" w:color="auto" w:fill="FFFFFF"/>
              </w:rPr>
              <w:t>79.24</w:t>
            </w:r>
          </w:p>
        </w:tc>
        <w:tc>
          <w:tcPr>
            <w:tcW w:w="1134" w:type="dxa"/>
            <w:shd w:val="clear" w:color="auto" w:fill="FFFFFF"/>
          </w:tcPr>
          <w:p>
            <w:pPr>
              <w:jc w:val="center"/>
            </w:pPr>
            <w:r>
              <w:rPr>
                <w:rFonts w:hint="eastAsia" w:ascii="宋体" w:eastAsia="宋体"/>
                <w:b w:val="0"/>
                <w:color w:val="000000"/>
                <w:sz w:val="24"/>
                <w:szCs w:val="24"/>
                <w:shd w:val="clear" w:color="auto" w:fill="FFFFFF"/>
              </w:rPr>
              <w:t>59.11</w:t>
            </w:r>
          </w:p>
        </w:tc>
      </w:tr>
    </w:tbl>
    <w:p>
      <w:pPr>
        <w:spacing w:beforeLines="113" w:afterLines="113" w:line="113" w:lineRule="auto"/>
        <w:jc w:val="left"/>
      </w:pPr>
      <w:r>
        <w:rPr>
          <w:rFonts w:hint="eastAsia" w:ascii="宋体" w:eastAsia="宋体"/>
          <w:b w:val="0"/>
          <w:color w:val="000000"/>
          <w:sz w:val="24"/>
          <w:szCs w:val="24"/>
          <w:shd w:val="clear" w:color="auto" w:fill="FFFFFF"/>
        </w:rPr>
        <w:t>该结构最小刚重比Di*Hi/Gi（59.11,第1层）不小于20,可以不考虑重力二阶效应</w:t>
      </w:r>
    </w:p>
    <w:p>
      <w:pPr>
        <w:spacing w:beforeLines="113" w:afterLines="113" w:line="113" w:lineRule="auto"/>
        <w:jc w:val="left"/>
      </w:pPr>
      <w:r>
        <w:rPr>
          <w:rFonts w:hint="eastAsia" w:ascii="宋体" w:eastAsia="宋体"/>
          <w:b w:val="0"/>
          <w:color w:val="000000"/>
          <w:sz w:val="24"/>
          <w:szCs w:val="24"/>
          <w:shd w:val="clear" w:color="auto" w:fill="FFFFFF"/>
        </w:rPr>
        <w:t>该结构最小刚重比Di*Hi/Gi不小于10,能够通过高规(5.4.4)的整体稳定验算</w:t>
      </w:r>
    </w:p>
    <w:p>
      <w:pPr>
        <w:spacing w:beforeLines="113" w:afterLines="113" w:line="113" w:lineRule="auto"/>
        <w:jc w:val="left"/>
      </w:pPr>
    </w:p>
    <w:p>
      <w:pPr>
        <w:pStyle w:val="3"/>
        <w:jc w:val="left"/>
      </w:pPr>
      <w:bookmarkStart w:id="71" w:name="_Toc10917"/>
      <w:r>
        <w:rPr>
          <w:rFonts w:hint="eastAsia" w:ascii="宋体" w:eastAsia="宋体"/>
          <w:b/>
          <w:color w:val="000000"/>
          <w:sz w:val="28"/>
          <w:szCs w:val="28"/>
          <w:shd w:val="clear" w:color="auto" w:fill="FFFFFF"/>
        </w:rPr>
        <w:t>3. 二阶效应系数及内力放大</w:t>
      </w:r>
      <w:bookmarkEnd w:id="71"/>
    </w:p>
    <w:p>
      <w:pPr>
        <w:spacing w:beforeLines="113" w:afterLines="113" w:line="113" w:lineRule="auto"/>
        <w:jc w:val="left"/>
      </w:pPr>
      <w:r>
        <w:rPr>
          <w:rFonts w:hint="eastAsia" w:ascii="楷体" w:eastAsia="楷体"/>
          <w:b/>
          <w:color w:val="0000FF"/>
          <w:sz w:val="24"/>
          <w:szCs w:val="24"/>
          <w:shd w:val="clear" w:color="auto" w:fill="FFFFFF"/>
        </w:rPr>
        <w:t>《钢结构标准》GB50017-2017 5.1.6条规定：框架柱的稳定计算应符合以下规定：结构内力分析可采用一阶线弹性分析或二阶线弹性分析。当二阶效应系数小于0.1时，可采用一阶弹性分析；大于0.1且小于0.25时，宜采用二阶线弹性分析或直接分析；大于0.25时，应增大结构的侧移刚度。</w:t>
      </w:r>
    </w:p>
    <w:p>
      <w:pPr>
        <w:spacing w:beforeLines="113" w:afterLines="113" w:line="113" w:lineRule="auto"/>
        <w:jc w:val="left"/>
      </w:pPr>
      <w:r>
        <w:rPr>
          <w:rFonts w:hint="eastAsia" w:ascii="楷体" w:eastAsia="楷体"/>
          <w:b/>
          <w:color w:val="0000FF"/>
          <w:sz w:val="24"/>
          <w:szCs w:val="24"/>
          <w:shd w:val="clear" w:color="auto" w:fill="FFFFFF"/>
        </w:rPr>
        <w:t>结构最大二阶效应系数(0.02，1层1塔）不大于0.1，结构内力分析可采用一阶弹性分析或二阶弹性分析，结构最大二阶效应系数(0.02，1层1塔）不大于0.25，能通过《钢结构标准》GB50017-2017(5.1.6)的稳定计算。</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θx,θy: </w:t>
      </w:r>
      <w:r>
        <w:rPr>
          <w:rFonts w:hint="eastAsia" w:ascii="宋体" w:eastAsia="宋体"/>
          <w:b w:val="0"/>
          <w:color w:val="000000"/>
          <w:sz w:val="24"/>
          <w:szCs w:val="24"/>
          <w:shd w:val="clear" w:color="auto" w:fill="FFFFFF"/>
        </w:rPr>
        <w:t>按《钢结构标准》GB50017-2017 5.1.6计算的二阶效应系数</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刚度单位  : kN/m</w:t>
      </w:r>
    </w:p>
    <w:p>
      <w:pPr>
        <w:spacing w:beforeLines="113" w:afterLines="113" w:line="113" w:lineRule="auto"/>
        <w:jc w:val="left"/>
      </w:pPr>
      <w:r>
        <w:rPr>
          <w:rFonts w:hint="eastAsia" w:ascii="宋体" w:eastAsia="宋体"/>
          <w:b w:val="0"/>
          <w:color w:val="000000"/>
          <w:sz w:val="24"/>
          <w:szCs w:val="24"/>
          <w:shd w:val="clear" w:color="auto" w:fill="FFFFFF"/>
        </w:rPr>
        <w:t>层高单位  : m</w:t>
      </w:r>
    </w:p>
    <w:p>
      <w:pPr>
        <w:spacing w:beforeLines="113" w:afterLines="113" w:line="113" w:lineRule="auto"/>
        <w:jc w:val="left"/>
      </w:pPr>
      <w:r>
        <w:rPr>
          <w:rFonts w:hint="eastAsia" w:ascii="宋体" w:eastAsia="宋体"/>
          <w:b w:val="0"/>
          <w:color w:val="000000"/>
          <w:sz w:val="24"/>
          <w:szCs w:val="24"/>
          <w:shd w:val="clear" w:color="auto" w:fill="FFFFFF"/>
        </w:rPr>
        <w:t>上部重量单位 : kN</w:t>
      </w:r>
    </w:p>
    <w:p>
      <w:pPr>
        <w:spacing w:beforeLines="113" w:afterLines="113" w:line="113" w:lineRule="auto"/>
        <w:jc w:val="center"/>
      </w:pPr>
      <w:r>
        <w:rPr>
          <w:rFonts w:hint="eastAsia" w:ascii="黑体" w:eastAsia="黑体"/>
          <w:b/>
          <w:color w:val="000000"/>
          <w:sz w:val="26"/>
          <w:szCs w:val="26"/>
          <w:shd w:val="clear" w:color="auto" w:fill="FFFFFF"/>
        </w:rPr>
        <w:t>表15-3 二阶效应系数</w:t>
      </w:r>
    </w:p>
    <w:tbl>
      <w:tblPr>
        <w:tblStyle w:val="29"/>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54"/>
        <w:gridCol w:w="1197"/>
        <w:gridCol w:w="1197"/>
        <w:gridCol w:w="1154"/>
        <w:gridCol w:w="1154"/>
        <w:gridCol w:w="1154"/>
        <w:gridCol w:w="115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X向刚度</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Y向刚度</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上部重量</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θx</w:t>
            </w:r>
          </w:p>
        </w:tc>
        <w:tc>
          <w:tcPr>
            <w:tcW w:w="113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θy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35707.31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26636.46</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7.60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3424.83</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0.01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0.02</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9" name="图表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r>
        <w:rPr>
          <w:rFonts w:hint="eastAsia" w:ascii="宋体" w:eastAsia="宋体"/>
          <w:b w:val="0"/>
          <w:color w:val="000000"/>
          <w:sz w:val="24"/>
          <w:szCs w:val="24"/>
          <w:shd w:val="clear" w:color="auto" w:fill="FFFFFF"/>
        </w:rPr>
        <w:t>图15-1 多方向二阶效应系数简图</w:t>
      </w:r>
    </w:p>
    <w:p>
      <w:pPr>
        <w:spacing w:beforeLines="113" w:afterLines="113" w:line="113" w:lineRule="auto"/>
        <w:jc w:val="center"/>
      </w:pPr>
    </w:p>
    <w:p>
      <w:pPr>
        <w:pStyle w:val="16"/>
        <w:jc w:val="center"/>
      </w:pPr>
      <w:bookmarkStart w:id="72" w:name="_Toc5783"/>
      <w:r>
        <w:rPr>
          <w:rFonts w:hint="eastAsia" w:ascii="宋体" w:eastAsia="宋体"/>
          <w:b/>
          <w:color w:val="000000"/>
          <w:sz w:val="32"/>
          <w:szCs w:val="32"/>
          <w:shd w:val="clear" w:color="auto" w:fill="FFFFFF"/>
        </w:rPr>
        <w:t>十六. 结构分析及设计结果简图</w:t>
      </w:r>
      <w:bookmarkEnd w:id="72"/>
    </w:p>
    <w:p>
      <w:pPr>
        <w:sectPr>
          <w:headerReference r:id="rId3" w:type="default"/>
          <w:footerReference r:id="rId4" w:type="default"/>
          <w:pgSz w:w="11906" w:h="16838"/>
          <w:pgMar w:top="1814" w:right="1417" w:bottom="1814" w:left="1417" w:header="851" w:footer="992" w:gutter="0"/>
          <w:cols w:space="1134" w:num="1"/>
          <w:docGrid w:type="lines" w:linePitch="113" w:charSpace="0"/>
        </w:sectPr>
      </w:pPr>
    </w:p>
    <w:p>
      <w:pPr>
        <w:pStyle w:val="3"/>
        <w:jc w:val="left"/>
      </w:pPr>
      <w:bookmarkStart w:id="73" w:name="_Toc4768"/>
      <w:r>
        <w:rPr>
          <w:rFonts w:hint="eastAsia" w:ascii="宋体" w:eastAsia="宋体"/>
          <w:b/>
          <w:color w:val="000000"/>
          <w:sz w:val="28"/>
          <w:szCs w:val="28"/>
          <w:shd w:val="clear" w:color="auto" w:fill="FFFFFF"/>
        </w:rPr>
        <w:t>1. 结构平面简图</w:t>
      </w:r>
      <w:bookmarkEnd w:id="73"/>
    </w:p>
    <w:p>
      <w:pPr>
        <w:jc w:val="center"/>
      </w:pPr>
      <w:r>
        <w:drawing>
          <wp:inline distT="0" distB="0" distL="0" distR="0">
            <wp:extent cx="12167870" cy="8639810"/>
            <wp:effectExtent l="0" t="0" r="0" b="0"/>
            <wp:docPr id="40" name="图片 40"/>
            <wp:cNvGraphicFramePr/>
            <a:graphic xmlns:a="http://schemas.openxmlformats.org/drawingml/2006/main">
              <a:graphicData uri="http://schemas.openxmlformats.org/drawingml/2006/picture">
                <pic:pic xmlns:pic="http://schemas.openxmlformats.org/drawingml/2006/picture">
                  <pic:nvPicPr>
                    <pic:cNvPr id="40" name="图片 40"/>
                    <pic:cNvPicPr/>
                  </pic:nvPicPr>
                  <pic:blipFill>
                    <a:blip r:embed="rId47">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"C:\\Users\\lenovo\\Desktop\\06%2520偏跨\\计算文件\\空压站\\空压站-基拉梁\\计算书资料\\pos_AN第1层编号简图.T" </w:instrText>
      </w:r>
      <w:r>
        <w:fldChar w:fldCharType="separate"/>
      </w:r>
      <w:r>
        <w:rPr>
          <w:rFonts w:hint="eastAsia" w:ascii="宋体" w:eastAsia="宋体"/>
          <w:color w:val="000000"/>
          <w:sz w:val="24"/>
          <w:szCs w:val="24"/>
          <w:shd w:val="clear" w:color="auto" w:fill="FFFFFF"/>
        </w:rPr>
        <w:t>图16-1   1层结构平面简图</w:t>
      </w:r>
      <w:r>
        <w:rPr>
          <w:rFonts w:hint="eastAsia" w:ascii="宋体" w:eastAsia="宋体"/>
          <w:color w:val="000000"/>
          <w:sz w:val="24"/>
          <w:szCs w:val="24"/>
          <w:shd w:val="clear" w:color="auto" w:fill="FFFFFF"/>
        </w:rPr>
        <w:fldChar w:fldCharType="end"/>
      </w:r>
    </w:p>
    <w:p>
      <w:pPr>
        <w:pStyle w:val="3"/>
        <w:jc w:val="left"/>
      </w:pPr>
      <w:bookmarkStart w:id="74" w:name="_Toc7518"/>
      <w:r>
        <w:rPr>
          <w:rFonts w:hint="eastAsia" w:ascii="宋体" w:eastAsia="宋体"/>
          <w:b/>
          <w:color w:val="000000"/>
          <w:sz w:val="28"/>
          <w:szCs w:val="28"/>
          <w:shd w:val="clear" w:color="auto" w:fill="FFFFFF"/>
        </w:rPr>
        <w:t>2. 荷载简图</w:t>
      </w:r>
      <w:bookmarkEnd w:id="74"/>
    </w:p>
    <w:p>
      <w:pPr>
        <w:jc w:val="center"/>
      </w:pPr>
      <w:r>
        <w:drawing>
          <wp:inline distT="0" distB="0" distL="0" distR="0">
            <wp:extent cx="12167870" cy="8639810"/>
            <wp:effectExtent l="0" t="0" r="0" b="0"/>
            <wp:docPr id="41" name="图片 41"/>
            <wp:cNvGraphicFramePr/>
            <a:graphic xmlns:a="http://schemas.openxmlformats.org/drawingml/2006/main">
              <a:graphicData uri="http://schemas.openxmlformats.org/drawingml/2006/picture">
                <pic:pic xmlns:pic="http://schemas.openxmlformats.org/drawingml/2006/picture">
                  <pic:nvPicPr>
                    <pic:cNvPr id="41" name="图片 41"/>
                    <pic:cNvPicPr/>
                  </pic:nvPicPr>
                  <pic:blipFill>
                    <a:blip r:embed="rId48">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"C:\\Users\\lenovo\\Desktop\\06%2520偏跨\\计算文件\\空压站\\空压站-基拉梁\\计算书资料\\pos_ALOAD第1层荷载简图.T" </w:instrText>
      </w:r>
      <w:r>
        <w:fldChar w:fldCharType="separate"/>
      </w:r>
      <w:r>
        <w:rPr>
          <w:rFonts w:hint="eastAsia" w:ascii="宋体" w:eastAsia="宋体"/>
          <w:color w:val="000000"/>
          <w:sz w:val="24"/>
          <w:szCs w:val="24"/>
          <w:shd w:val="clear" w:color="auto" w:fill="FFFFFF"/>
        </w:rPr>
        <w:t>图16-2   1层荷载简图</w:t>
      </w:r>
      <w:r>
        <w:rPr>
          <w:rFonts w:hint="eastAsia" w:ascii="宋体" w:eastAsia="宋体"/>
          <w:color w:val="000000"/>
          <w:sz w:val="24"/>
          <w:szCs w:val="24"/>
          <w:shd w:val="clear" w:color="auto" w:fill="FFFFFF"/>
        </w:rPr>
        <w:fldChar w:fldCharType="end"/>
      </w:r>
    </w:p>
    <w:p>
      <w:pPr>
        <w:pStyle w:val="3"/>
        <w:jc w:val="left"/>
      </w:pPr>
      <w:bookmarkStart w:id="75" w:name="_Toc1352"/>
      <w:r>
        <w:rPr>
          <w:rFonts w:hint="eastAsia" w:ascii="宋体" w:eastAsia="宋体"/>
          <w:b/>
          <w:color w:val="000000"/>
          <w:sz w:val="28"/>
          <w:szCs w:val="28"/>
          <w:shd w:val="clear" w:color="auto" w:fill="FFFFFF"/>
        </w:rPr>
        <w:t>3. 配筋简图</w:t>
      </w:r>
      <w:bookmarkEnd w:id="75"/>
    </w:p>
    <w:p>
      <w:pPr>
        <w:jc w:val="center"/>
      </w:pPr>
      <w:r>
        <w:drawing>
          <wp:inline distT="0" distB="0" distL="0" distR="0">
            <wp:extent cx="12167870" cy="8639810"/>
            <wp:effectExtent l="0" t="0" r="0" b="0"/>
            <wp:docPr id="42" name="图片 42"/>
            <wp:cNvGraphicFramePr/>
            <a:graphic xmlns:a="http://schemas.openxmlformats.org/drawingml/2006/main">
              <a:graphicData uri="http://schemas.openxmlformats.org/drawingml/2006/picture">
                <pic:pic xmlns:pic="http://schemas.openxmlformats.org/drawingml/2006/picture">
                  <pic:nvPicPr>
                    <pic:cNvPr id="42" name="图片 42"/>
                    <pic:cNvPicPr/>
                  </pic:nvPicPr>
                  <pic:blipFill>
                    <a:blip r:embed="rId49">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"C:\\Users\\lenovo\\Desktop\\06%2520偏跨\\计算文件\\空压站\\空压站-基拉梁\\计算书资料\\pos_A第1层混凝土构件配筋及钢构件应力比简图.T" </w:instrText>
      </w:r>
      <w:r>
        <w:fldChar w:fldCharType="separate"/>
      </w:r>
      <w:r>
        <w:rPr>
          <w:rFonts w:hint="eastAsia" w:ascii="宋体" w:eastAsia="宋体"/>
          <w:color w:val="000000"/>
          <w:sz w:val="24"/>
          <w:szCs w:val="24"/>
          <w:shd w:val="clear" w:color="auto" w:fill="FFFFFF"/>
        </w:rPr>
        <w:t>图16-3   1层配筋简图</w:t>
      </w:r>
      <w:r>
        <w:rPr>
          <w:rFonts w:hint="eastAsia" w:ascii="宋体" w:eastAsia="宋体"/>
          <w:color w:val="000000"/>
          <w:sz w:val="24"/>
          <w:szCs w:val="24"/>
          <w:shd w:val="clear" w:color="auto" w:fill="FFFFFF"/>
        </w:rPr>
        <w:fldChar w:fldCharType="end"/>
      </w:r>
    </w:p>
    <w:p>
      <w:pPr>
        <w:pStyle w:val="3"/>
        <w:jc w:val="left"/>
      </w:pPr>
      <w:bookmarkStart w:id="76" w:name="_Toc26382"/>
      <w:r>
        <w:rPr>
          <w:rFonts w:hint="eastAsia" w:ascii="宋体" w:eastAsia="宋体"/>
          <w:b/>
          <w:color w:val="000000"/>
          <w:sz w:val="28"/>
          <w:szCs w:val="28"/>
          <w:shd w:val="clear" w:color="auto" w:fill="FFFFFF"/>
        </w:rPr>
        <w:t>4. 边缘构件简图</w:t>
      </w:r>
      <w:bookmarkEnd w:id="76"/>
    </w:p>
    <w:p>
      <w:pPr>
        <w:jc w:val="center"/>
      </w:pPr>
      <w:r>
        <w:drawing>
          <wp:inline distT="0" distB="0" distL="0" distR="0">
            <wp:extent cx="12167870" cy="8639810"/>
            <wp:effectExtent l="0" t="0" r="0" b="0"/>
            <wp:docPr id="43" name="图片 43"/>
            <wp:cNvGraphicFramePr/>
            <a:graphic xmlns:a="http://schemas.openxmlformats.org/drawingml/2006/main">
              <a:graphicData uri="http://schemas.openxmlformats.org/drawingml/2006/picture">
                <pic:pic xmlns:pic="http://schemas.openxmlformats.org/drawingml/2006/picture">
                  <pic:nvPicPr>
                    <pic:cNvPr id="43" name="图片 43"/>
                    <pic:cNvPicPr/>
                  </pic:nvPicPr>
                  <pic:blipFill>
                    <a:blip r:embed="rId50">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"C:\\Users\\lenovo\\Desktop\\06%2520偏跨\\计算文件\\空压站\\空压站-基拉梁\\计算书资料\\pos_B第1层边缘构件简图.T" </w:instrText>
      </w:r>
      <w:r>
        <w:fldChar w:fldCharType="separate"/>
      </w:r>
      <w:r>
        <w:rPr>
          <w:rFonts w:hint="eastAsia" w:ascii="宋体" w:eastAsia="宋体"/>
          <w:color w:val="000000"/>
          <w:sz w:val="24"/>
          <w:szCs w:val="24"/>
          <w:shd w:val="clear" w:color="auto" w:fill="FFFFFF"/>
        </w:rPr>
        <w:t>图16-4   1层边缘构件简图</w:t>
      </w:r>
      <w:r>
        <w:rPr>
          <w:rFonts w:hint="eastAsia" w:ascii="宋体" w:eastAsia="宋体"/>
          <w:color w:val="000000"/>
          <w:sz w:val="24"/>
          <w:szCs w:val="24"/>
          <w:shd w:val="clear" w:color="auto" w:fill="FFFFFF"/>
        </w:rPr>
        <w:fldChar w:fldCharType="end"/>
      </w:r>
    </w:p>
    <w:p>
      <w:pPr>
        <w:pStyle w:val="3"/>
        <w:jc w:val="left"/>
      </w:pPr>
      <w:bookmarkStart w:id="77" w:name="_Toc8029"/>
      <w:r>
        <w:rPr>
          <w:rFonts w:hint="eastAsia" w:ascii="宋体" w:eastAsia="宋体"/>
          <w:b/>
          <w:color w:val="000000"/>
          <w:sz w:val="28"/>
          <w:szCs w:val="28"/>
          <w:shd w:val="clear" w:color="auto" w:fill="FFFFFF"/>
        </w:rPr>
        <w:t>5. 柱、墙轴压比简图</w:t>
      </w:r>
      <w:bookmarkEnd w:id="77"/>
    </w:p>
    <w:p>
      <w:pPr>
        <w:jc w:val="center"/>
      </w:pPr>
      <w:r>
        <w:drawing>
          <wp:inline distT="0" distB="0" distL="0" distR="0">
            <wp:extent cx="12167870" cy="8639810"/>
            <wp:effectExtent l="0" t="0" r="0" b="0"/>
            <wp:docPr id="44" name="图片 44"/>
            <wp:cNvGraphicFramePr/>
            <a:graphic xmlns:a="http://schemas.openxmlformats.org/drawingml/2006/main">
              <a:graphicData uri="http://schemas.openxmlformats.org/drawingml/2006/picture">
                <pic:pic xmlns:pic="http://schemas.openxmlformats.org/drawingml/2006/picture">
                  <pic:nvPicPr>
                    <pic:cNvPr id="44" name="图片 44"/>
                    <pic:cNvPicPr/>
                  </pic:nvPicPr>
                  <pic:blipFill>
                    <a:blip r:embed="rId51">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"C:\\Users\\lenovo\\Desktop\\06%2520偏跨\\计算文件\\空压站\\空压站-基拉梁\\计算书资料\\pos_C第1层柱轴压比简图.T" </w:instrText>
      </w:r>
      <w:r>
        <w:fldChar w:fldCharType="separate"/>
      </w:r>
      <w:r>
        <w:rPr>
          <w:rFonts w:hint="eastAsia" w:ascii="宋体" w:eastAsia="宋体"/>
          <w:color w:val="000000"/>
          <w:sz w:val="24"/>
          <w:szCs w:val="24"/>
          <w:shd w:val="clear" w:color="auto" w:fill="FFFFFF"/>
        </w:rPr>
        <w:t>图16-5   1层柱、墙轴压比简图</w:t>
      </w:r>
      <w:r>
        <w:rPr>
          <w:rFonts w:hint="eastAsia" w:ascii="宋体" w:eastAsia="宋体"/>
          <w:color w:val="000000"/>
          <w:sz w:val="24"/>
          <w:szCs w:val="24"/>
          <w:shd w:val="clear" w:color="auto" w:fill="FFFFFF"/>
        </w:rPr>
        <w:fldChar w:fldCharType="end"/>
      </w:r>
    </w:p>
    <w:p>
      <w:pPr>
        <w:pStyle w:val="3"/>
        <w:jc w:val="left"/>
      </w:pPr>
      <w:bookmarkStart w:id="78" w:name="_Toc7932"/>
      <w:r>
        <w:rPr>
          <w:rFonts w:hint="eastAsia" w:ascii="宋体" w:eastAsia="宋体"/>
          <w:b/>
          <w:color w:val="000000"/>
          <w:sz w:val="28"/>
          <w:szCs w:val="28"/>
          <w:shd w:val="clear" w:color="auto" w:fill="FFFFFF"/>
        </w:rPr>
        <w:t>6. 柱长细比简图</w:t>
      </w:r>
      <w:bookmarkEnd w:id="78"/>
    </w:p>
    <w:p>
      <w:pPr>
        <w:jc w:val="center"/>
      </w:pPr>
      <w:r>
        <w:drawing>
          <wp:inline distT="0" distB="0" distL="0" distR="0">
            <wp:extent cx="12167870" cy="8639810"/>
            <wp:effectExtent l="0" t="0" r="0" b="0"/>
            <wp:docPr id="45" name="图片 45"/>
            <wp:cNvGraphicFramePr/>
            <a:graphic xmlns:a="http://schemas.openxmlformats.org/drawingml/2006/main">
              <a:graphicData uri="http://schemas.openxmlformats.org/drawingml/2006/picture">
                <pic:pic xmlns:pic="http://schemas.openxmlformats.org/drawingml/2006/picture">
                  <pic:nvPicPr>
                    <pic:cNvPr id="45" name="图片 45"/>
                    <pic:cNvPicPr/>
                  </pic:nvPicPr>
                  <pic:blipFill>
                    <a:blip r:embed="rId50">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"C:\\Users\\lenovo\\Desktop\\06%2520偏跨\\计算文件\\空压站\\空压站-基拉梁\\计算书资料\\pos_D第1层柱长细比简图.T" </w:instrText>
      </w:r>
      <w:r>
        <w:fldChar w:fldCharType="separate"/>
      </w:r>
      <w:r>
        <w:rPr>
          <w:rFonts w:hint="eastAsia" w:ascii="宋体" w:eastAsia="宋体"/>
          <w:color w:val="000000"/>
          <w:sz w:val="24"/>
          <w:szCs w:val="24"/>
          <w:shd w:val="clear" w:color="auto" w:fill="FFFFFF"/>
        </w:rPr>
        <w:t>图16-6   1层柱长细比简图</w:t>
      </w:r>
      <w:r>
        <w:rPr>
          <w:rFonts w:hint="eastAsia" w:ascii="宋体" w:eastAsia="宋体"/>
          <w:color w:val="000000"/>
          <w:sz w:val="24"/>
          <w:szCs w:val="24"/>
          <w:shd w:val="clear" w:color="auto" w:fill="FFFFFF"/>
        </w:rPr>
        <w:fldChar w:fldCharType="end"/>
      </w:r>
    </w:p>
    <w:p>
      <w:pPr>
        <w:pStyle w:val="3"/>
        <w:jc w:val="left"/>
      </w:pPr>
      <w:bookmarkStart w:id="79" w:name="_Toc8747"/>
      <w:r>
        <w:rPr>
          <w:rFonts w:hint="eastAsia" w:ascii="宋体" w:eastAsia="宋体"/>
          <w:b/>
          <w:color w:val="000000"/>
          <w:sz w:val="28"/>
          <w:szCs w:val="28"/>
          <w:shd w:val="clear" w:color="auto" w:fill="FFFFFF"/>
        </w:rPr>
        <w:t>7. 梁弹性挠度简图</w:t>
      </w:r>
      <w:bookmarkEnd w:id="79"/>
    </w:p>
    <w:p>
      <w:pPr>
        <w:jc w:val="center"/>
      </w:pPr>
      <w:r>
        <w:drawing>
          <wp:inline distT="0" distB="0" distL="0" distR="0">
            <wp:extent cx="12167870" cy="8639810"/>
            <wp:effectExtent l="0" t="0" r="0" b="0"/>
            <wp:docPr id="46" name="图片 46"/>
            <wp:cNvGraphicFramePr/>
            <a:graphic xmlns:a="http://schemas.openxmlformats.org/drawingml/2006/main">
              <a:graphicData uri="http://schemas.openxmlformats.org/drawingml/2006/picture">
                <pic:pic xmlns:pic="http://schemas.openxmlformats.org/drawingml/2006/picture">
                  <pic:nvPicPr>
                    <pic:cNvPr id="46" name="图片 46"/>
                    <pic:cNvPicPr/>
                  </pic:nvPicPr>
                  <pic:blipFill>
                    <a:blip r:embed="rId52">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"C:\\Users\\lenovo\\Desktop\\06%2520偏跨\\计算文件\\空压站\\空压站-基拉梁\\计算书资料\\pos_E第1层梁弹性挠度简图.T" </w:instrText>
      </w:r>
      <w:r>
        <w:fldChar w:fldCharType="separate"/>
      </w:r>
      <w:r>
        <w:rPr>
          <w:rFonts w:hint="eastAsia" w:ascii="宋体" w:eastAsia="宋体"/>
          <w:color w:val="000000"/>
          <w:sz w:val="24"/>
          <w:szCs w:val="24"/>
          <w:shd w:val="clear" w:color="auto" w:fill="FFFFFF"/>
        </w:rPr>
        <w:t>图16-7   1层梁弹性挠度简图</w:t>
      </w:r>
      <w:r>
        <w:rPr>
          <w:rFonts w:hint="eastAsia" w:ascii="宋体" w:eastAsia="宋体"/>
          <w:color w:val="000000"/>
          <w:sz w:val="24"/>
          <w:szCs w:val="24"/>
          <w:shd w:val="clear" w:color="auto" w:fill="FFFFFF"/>
        </w:rPr>
        <w:fldChar w:fldCharType="end"/>
      </w:r>
    </w:p>
    <w:p>
      <w:pPr>
        <w:pStyle w:val="3"/>
        <w:jc w:val="left"/>
      </w:pPr>
      <w:bookmarkStart w:id="80" w:name="_Toc24419"/>
      <w:r>
        <w:rPr>
          <w:rFonts w:hint="eastAsia" w:ascii="宋体" w:eastAsia="宋体"/>
          <w:b/>
          <w:color w:val="000000"/>
          <w:sz w:val="28"/>
          <w:szCs w:val="28"/>
          <w:shd w:val="clear" w:color="auto" w:fill="FFFFFF"/>
        </w:rPr>
        <w:t>8. 梁内力包络简图</w:t>
      </w:r>
      <w:bookmarkEnd w:id="80"/>
    </w:p>
    <w:p>
      <w:pPr>
        <w:jc w:val="center"/>
      </w:pPr>
      <w:r>
        <w:drawing>
          <wp:inline distT="0" distB="0" distL="0" distR="0">
            <wp:extent cx="12167870" cy="8639810"/>
            <wp:effectExtent l="0" t="0" r="0" b="0"/>
            <wp:docPr id="47" name="图片 47"/>
            <wp:cNvGraphicFramePr/>
            <a:graphic xmlns:a="http://schemas.openxmlformats.org/drawingml/2006/main">
              <a:graphicData uri="http://schemas.openxmlformats.org/drawingml/2006/picture">
                <pic:pic xmlns:pic="http://schemas.openxmlformats.org/drawingml/2006/picture">
                  <pic:nvPicPr>
                    <pic:cNvPr id="47" name="图片 47"/>
                    <pic:cNvPicPr/>
                  </pic:nvPicPr>
                  <pic:blipFill>
                    <a:blip r:embed="rId53">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"C:\\Users\\lenovo\\Desktop\\06%2520偏跨\\计算文件\\空压站\\空压站-基拉梁\\计算书资料\\pos_F第1层梁截面设计弯矩包络图.T" </w:instrText>
      </w:r>
      <w:r>
        <w:fldChar w:fldCharType="separate"/>
      </w:r>
      <w:r>
        <w:rPr>
          <w:rFonts w:hint="eastAsia" w:ascii="宋体" w:eastAsia="宋体"/>
          <w:color w:val="000000"/>
          <w:sz w:val="24"/>
          <w:szCs w:val="24"/>
          <w:shd w:val="clear" w:color="auto" w:fill="FFFFFF"/>
        </w:rPr>
        <w:t>图16-8   1层弯矩梁内力包络简图</w:t>
      </w:r>
      <w:r>
        <w:rPr>
          <w:rFonts w:hint="eastAsia" w:ascii="宋体" w:eastAsia="宋体"/>
          <w:color w:val="000000"/>
          <w:sz w:val="24"/>
          <w:szCs w:val="24"/>
          <w:shd w:val="clear" w:color="auto" w:fill="FFFFFF"/>
        </w:rPr>
        <w:fldChar w:fldCharType="end"/>
      </w:r>
    </w:p>
    <w:p>
      <w:pPr>
        <w:pStyle w:val="3"/>
        <w:jc w:val="left"/>
      </w:pPr>
      <w:bookmarkStart w:id="81" w:name="_Toc11422"/>
      <w:r>
        <w:rPr>
          <w:rFonts w:hint="eastAsia" w:ascii="宋体" w:eastAsia="宋体"/>
          <w:b/>
          <w:color w:val="000000"/>
          <w:sz w:val="28"/>
          <w:szCs w:val="28"/>
          <w:shd w:val="clear" w:color="auto" w:fill="FFFFFF"/>
        </w:rPr>
        <w:t>9. 梁配筋包络简图</w:t>
      </w:r>
      <w:bookmarkEnd w:id="81"/>
    </w:p>
    <w:p>
      <w:pPr>
        <w:jc w:val="center"/>
      </w:pPr>
      <w:r>
        <w:drawing>
          <wp:inline distT="0" distB="0" distL="0" distR="0">
            <wp:extent cx="12167870" cy="8639810"/>
            <wp:effectExtent l="0" t="0" r="0" b="0"/>
            <wp:docPr id="48" name="图片 48"/>
            <wp:cNvGraphicFramePr/>
            <a:graphic xmlns:a="http://schemas.openxmlformats.org/drawingml/2006/main">
              <a:graphicData uri="http://schemas.openxmlformats.org/drawingml/2006/picture">
                <pic:pic xmlns:pic="http://schemas.openxmlformats.org/drawingml/2006/picture">
                  <pic:nvPicPr>
                    <pic:cNvPr id="48" name="图片 48"/>
                    <pic:cNvPicPr/>
                  </pic:nvPicPr>
                  <pic:blipFill>
                    <a:blip r:embed="rId54">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"C:\\Users\\lenovo\\Desktop\\06%2520偏跨\\计算文件\\空压站\\空压站-基拉梁\\计算书资料\\pos_J第1层梁各截面主筋包络图.T" </w:instrText>
      </w:r>
      <w:r>
        <w:fldChar w:fldCharType="separate"/>
      </w:r>
      <w:r>
        <w:rPr>
          <w:rFonts w:hint="eastAsia" w:ascii="宋体" w:eastAsia="宋体"/>
          <w:color w:val="000000"/>
          <w:sz w:val="24"/>
          <w:szCs w:val="24"/>
          <w:shd w:val="clear" w:color="auto" w:fill="FFFFFF"/>
        </w:rPr>
        <w:t>图16-9   1层梁主筋包络简图</w:t>
      </w:r>
      <w:r>
        <w:rPr>
          <w:rFonts w:hint="eastAsia" w:ascii="宋体" w:eastAsia="宋体"/>
          <w:color w:val="000000"/>
          <w:sz w:val="24"/>
          <w:szCs w:val="24"/>
          <w:shd w:val="clear" w:color="auto" w:fill="FFFFFF"/>
        </w:rPr>
        <w:fldChar w:fldCharType="end"/>
      </w:r>
    </w:p>
    <w:p>
      <w:pPr>
        <w:pStyle w:val="3"/>
        <w:jc w:val="left"/>
      </w:pPr>
      <w:bookmarkStart w:id="82" w:name="_Toc27318"/>
      <w:r>
        <w:rPr>
          <w:rFonts w:hint="eastAsia" w:ascii="宋体" w:eastAsia="宋体"/>
          <w:b/>
          <w:color w:val="000000"/>
          <w:sz w:val="28"/>
          <w:szCs w:val="28"/>
          <w:shd w:val="clear" w:color="auto" w:fill="FFFFFF"/>
        </w:rPr>
        <w:t>10. 柱、墙截面控制内力简图</w:t>
      </w:r>
      <w:bookmarkEnd w:id="82"/>
    </w:p>
    <w:p>
      <w:pPr>
        <w:jc w:val="center"/>
      </w:pPr>
      <w:r>
        <w:drawing>
          <wp:inline distT="0" distB="0" distL="0" distR="0">
            <wp:extent cx="12167870" cy="8639810"/>
            <wp:effectExtent l="0" t="0" r="0" b="0"/>
            <wp:docPr id="49" name="图片 49"/>
            <wp:cNvGraphicFramePr/>
            <a:graphic xmlns:a="http://schemas.openxmlformats.org/drawingml/2006/main">
              <a:graphicData uri="http://schemas.openxmlformats.org/drawingml/2006/picture">
                <pic:pic xmlns:pic="http://schemas.openxmlformats.org/drawingml/2006/picture">
                  <pic:nvPicPr>
                    <pic:cNvPr id="49" name="图片 49"/>
                    <pic:cNvPicPr/>
                  </pic:nvPicPr>
                  <pic:blipFill>
                    <a:blip r:embed="rId55">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"C:\\Users\\lenovo\\Desktop\\06%2520偏跨\\计算文件\\空压站\\空压站-基拉梁\\计算书资料\\pos_L第1层砼柱墙截面控制内力简图.T" </w:instrText>
      </w:r>
      <w:r>
        <w:fldChar w:fldCharType="separate"/>
      </w:r>
      <w:r>
        <w:rPr>
          <w:rFonts w:hint="eastAsia" w:ascii="宋体" w:eastAsia="宋体"/>
          <w:color w:val="000000"/>
          <w:sz w:val="24"/>
          <w:szCs w:val="24"/>
          <w:shd w:val="clear" w:color="auto" w:fill="FFFFFF"/>
        </w:rPr>
        <w:t>图16-10   1层柱、墙截面控制内力简图</w:t>
      </w:r>
      <w:r>
        <w:rPr>
          <w:rFonts w:hint="eastAsia" w:ascii="宋体" w:eastAsia="宋体"/>
          <w:color w:val="000000"/>
          <w:sz w:val="24"/>
          <w:szCs w:val="24"/>
          <w:shd w:val="clear" w:color="auto" w:fill="FFFFFF"/>
        </w:rPr>
        <w:fldChar w:fldCharType="end"/>
      </w:r>
    </w:p>
    <w:sectPr>
      <w:headerReference r:id="rId5" w:type="default"/>
      <w:footerReference r:id="rId6" w:type="default"/>
      <w:pgSz w:w="23814" w:h="16839" w:orient="landscape"/>
      <w:pgMar w:top="567" w:right="850" w:bottom="453" w:left="1417" w:header="120" w:footer="200" w:gutter="0"/>
      <w:cols w:space="1134" w:num="1"/>
      <w:titlePg/>
      <w:docGrid w:type="lines" w:linePitch="1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t>CABR-PKPM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50E319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4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9"/>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5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51"/>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2"/>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9">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8">
    <w:name w:val="toc 3"/>
    <w:basedOn w:val="1"/>
    <w:next w:val="1"/>
    <w:unhideWhenUsed/>
    <w:uiPriority w:val="39"/>
    <w:pPr>
      <w:ind w:left="840" w:leftChars="400"/>
    </w:pPr>
  </w:style>
  <w:style w:type="paragraph" w:styleId="9">
    <w:name w:val="Balloon Text"/>
    <w:basedOn w:val="1"/>
    <w:link w:val="44"/>
    <w:semiHidden/>
    <w:unhideWhenUsed/>
    <w:uiPriority w:val="99"/>
    <w:rPr>
      <w:sz w:val="18"/>
      <w:szCs w:val="18"/>
    </w:rPr>
  </w:style>
  <w:style w:type="paragraph" w:styleId="10">
    <w:name w:val="footer"/>
    <w:basedOn w:val="1"/>
    <w:link w:val="43"/>
    <w:unhideWhenUsed/>
    <w:uiPriority w:val="99"/>
    <w:pPr>
      <w:tabs>
        <w:tab w:val="center" w:pos="4153"/>
        <w:tab w:val="right" w:pos="8306"/>
      </w:tabs>
      <w:snapToGrid w:val="0"/>
      <w:jc w:val="left"/>
    </w:pPr>
    <w:rPr>
      <w:sz w:val="18"/>
      <w:szCs w:val="18"/>
    </w:rPr>
  </w:style>
  <w:style w:type="paragraph" w:styleId="11">
    <w:name w:val="header"/>
    <w:basedOn w:val="1"/>
    <w:link w:val="20"/>
    <w:unhideWhenUsed/>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uiPriority w:val="39"/>
  </w:style>
  <w:style w:type="paragraph" w:styleId="13">
    <w:name w:val="toc 4"/>
    <w:basedOn w:val="1"/>
    <w:next w:val="1"/>
    <w:unhideWhenUsed/>
    <w:uiPriority w:val="39"/>
    <w:pPr>
      <w:ind w:left="1260" w:leftChars="600"/>
    </w:pPr>
  </w:style>
  <w:style w:type="paragraph" w:styleId="14">
    <w:name w:val="Subtitle"/>
    <w:basedOn w:val="1"/>
    <w:next w:val="1"/>
    <w:link w:val="47"/>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15">
    <w:name w:val="toc 2"/>
    <w:basedOn w:val="1"/>
    <w:next w:val="1"/>
    <w:unhideWhenUsed/>
    <w:uiPriority w:val="39"/>
    <w:pPr>
      <w:ind w:left="420" w:leftChars="200"/>
    </w:pPr>
  </w:style>
  <w:style w:type="paragraph" w:styleId="16">
    <w:name w:val="Title"/>
    <w:basedOn w:val="1"/>
    <w:next w:val="1"/>
    <w:link w:val="45"/>
    <w:qFormat/>
    <w:uiPriority w:val="10"/>
    <w:pPr>
      <w:spacing w:before="240" w:after="60"/>
      <w:jc w:val="center"/>
      <w:outlineLvl w:val="0"/>
    </w:pPr>
    <w:rPr>
      <w:rFonts w:eastAsia="宋体" w:asciiTheme="majorHAnsi" w:hAnsiTheme="majorHAnsi" w:cstheme="majorBidi"/>
      <w:b/>
      <w:bCs/>
      <w:sz w:val="32"/>
      <w:szCs w:val="32"/>
    </w:rPr>
  </w:style>
  <w:style w:type="table" w:styleId="18">
    <w:name w:val="Table Grid"/>
    <w:basedOn w:val="1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
    <w:name w:val="页眉 Char"/>
    <w:basedOn w:val="19"/>
    <w:link w:val="11"/>
    <w:uiPriority w:val="99"/>
    <w:rPr>
      <w:sz w:val="18"/>
      <w:szCs w:val="18"/>
    </w:rPr>
  </w:style>
  <w:style w:type="table" w:customStyle="1" w:styleId="21">
    <w:name w:val="三线式表格(三条线都为细线)"/>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left w:val="nil"/>
          <w:bottom w:val="single" w:color="auto" w:sz="4" w:space="0"/>
          <w:right w:val="nil"/>
          <w:insideH w:val="nil"/>
          <w:insideV w:val="nil"/>
        </w:tcBorders>
      </w:tcPr>
    </w:tblStylePr>
  </w:style>
  <w:style w:type="table" w:customStyle="1" w:styleId="22">
    <w:name w:val="三线式表格(三条线都为细线)_表头为0"/>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tcBorders>
      </w:tcPr>
    </w:tblStylePr>
  </w:style>
  <w:style w:type="table" w:customStyle="1" w:styleId="23">
    <w:name w:val="三线式表格(三条线都为细线)_表头为2"/>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4">
    <w:name w:val="三线式表格(三条线都为细线)_表头为3"/>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5">
    <w:name w:val="三线式表格(顶底线粗，中线细)"/>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6">
    <w:name w:val="三线式表格(顶底线粗，中线细)_表头为0"/>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27">
    <w:name w:val="三线式表格(顶底线粗，中线细)_表头为2"/>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8">
    <w:name w:val="三线式表格(顶底线粗，中线细)_表头为3"/>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9">
    <w:name w:val="表头及底线粗，内线细，无两侧边框"/>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0">
    <w:name w:val="表头及底线粗，内线细，无两侧边框_表头为0"/>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31">
    <w:name w:val="表头及底线粗，内线细，无两侧边框_表头为2"/>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2">
    <w:name w:val="表头及底线粗，内线细，无两侧边框_表头为3"/>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3">
    <w:name w:val="表头及边框粗，内线细"/>
    <w:basedOn w:val="17"/>
    <w:qFormat/>
    <w:uiPriority w:val="99"/>
    <w:tblPr>
      <w:tblBorders>
        <w:top w:val="single" w:color="auto" w:sz="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6" w:space="0"/>
          <w:insideV w:val="single" w:sz="6" w:space="0"/>
          <w:tl2br w:val="nil"/>
          <w:tr2bl w:val="nil"/>
        </w:tcBorders>
      </w:tcPr>
    </w:tblStylePr>
  </w:style>
  <w:style w:type="table" w:customStyle="1" w:styleId="34">
    <w:name w:val="表头及边框粗，内线细_表头为0"/>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tcBorders>
      </w:tcPr>
    </w:tblStylePr>
  </w:style>
  <w:style w:type="table" w:customStyle="1" w:styleId="35">
    <w:name w:val="表头及边框粗，内线细_表头为2"/>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6">
    <w:name w:val="表头及边框粗，内线细_表头为3"/>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7">
    <w:name w:val="双外轮廓线式，外粗，内细 (表格内部线细)"/>
    <w:basedOn w:val="17"/>
    <w:qFormat/>
    <w:uiPriority w:val="99"/>
    <w:tblPr>
      <w:tblBorders>
        <w:top w:val="thinThickSmallGap" w:color="auto" w:sz="24" w:space="0"/>
        <w:left w:val="thinThickSmallGap" w:color="auto" w:sz="24" w:space="0"/>
        <w:bottom w:val="thickThinSmallGap" w:color="auto" w:sz="24" w:space="0"/>
        <w:right w:val="thickThin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8">
    <w:name w:val="双外轮廓线式，外细，内粗 (表格内部线细)"/>
    <w:basedOn w:val="17"/>
    <w:qFormat/>
    <w:uiPriority w:val="99"/>
    <w:tblPr>
      <w:tblBorders>
        <w:top w:val="thickThinSmallGap" w:color="auto" w:sz="24" w:space="0"/>
        <w:left w:val="thickThinSmallGap" w:color="auto" w:sz="24" w:space="0"/>
        <w:bottom w:val="thinThickSmallGap" w:color="auto" w:sz="24" w:space="0"/>
        <w:right w:val="thinThick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9">
    <w:name w:val="双外轮廓线式，外细，内细 (表格内部线细)"/>
    <w:basedOn w:val="17"/>
    <w:qFormat/>
    <w:uiPriority w:val="99"/>
    <w:tblPr>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
  </w:style>
  <w:style w:type="table" w:customStyle="1" w:styleId="40">
    <w:name w:val="三外轮廓线式，外细，中粗，内细 (表格内部线细)"/>
    <w:basedOn w:val="17"/>
    <w:qFormat/>
    <w:uiPriority w:val="99"/>
    <w:tblPr>
      <w:tblBorders>
        <w:top w:val="thinThickThinSmallGap" w:color="auto" w:sz="24" w:space="0"/>
        <w:left w:val="thinThickThinSmallGap" w:color="auto" w:sz="24" w:space="0"/>
        <w:bottom w:val="thinThickThinSmallGap" w:color="auto" w:sz="24" w:space="0"/>
        <w:right w:val="thinThickThinSmallGap"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1">
    <w:name w:val="三维式外轮廓线(表格内部线细)"/>
    <w:basedOn w:val="17"/>
    <w:qFormat/>
    <w:uiPriority w:val="99"/>
    <w:tblPr>
      <w:tblBorders>
        <w:top w:val="threeDEmboss" w:color="auto" w:sz="24" w:space="0"/>
        <w:left w:val="threeDEmboss" w:color="auto" w:sz="24" w:space="0"/>
        <w:bottom w:val="threeDEngrave" w:color="auto" w:sz="24" w:space="0"/>
        <w:right w:val="threeDEngrave"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2">
    <w:name w:val="无线条"/>
    <w:basedOn w:val="17"/>
    <w:qFormat/>
    <w:uiPriority w:val="99"/>
    <w:tblPr>
      <w:tblCellMar>
        <w:top w:w="0" w:type="dxa"/>
        <w:left w:w="108" w:type="dxa"/>
        <w:bottom w:w="0" w:type="dxa"/>
        <w:right w:w="108" w:type="dxa"/>
      </w:tblCellMar>
    </w:tblPr>
  </w:style>
  <w:style w:type="character" w:customStyle="1" w:styleId="43">
    <w:name w:val="页脚 Char"/>
    <w:basedOn w:val="19"/>
    <w:link w:val="10"/>
    <w:qFormat/>
    <w:uiPriority w:val="99"/>
    <w:rPr>
      <w:sz w:val="18"/>
      <w:szCs w:val="18"/>
    </w:rPr>
  </w:style>
  <w:style w:type="character" w:customStyle="1" w:styleId="44">
    <w:name w:val="批注框文本 Char"/>
    <w:basedOn w:val="19"/>
    <w:link w:val="9"/>
    <w:semiHidden/>
    <w:uiPriority w:val="99"/>
    <w:rPr>
      <w:sz w:val="18"/>
      <w:szCs w:val="18"/>
    </w:rPr>
  </w:style>
  <w:style w:type="character" w:customStyle="1" w:styleId="45">
    <w:name w:val="标题 Char"/>
    <w:basedOn w:val="19"/>
    <w:link w:val="16"/>
    <w:uiPriority w:val="10"/>
    <w:rPr>
      <w:rFonts w:eastAsia="宋体" w:asciiTheme="majorHAnsi" w:hAnsiTheme="majorHAnsi" w:cstheme="majorBidi"/>
      <w:b/>
      <w:bCs/>
      <w:sz w:val="32"/>
      <w:szCs w:val="32"/>
    </w:rPr>
  </w:style>
  <w:style w:type="character" w:customStyle="1" w:styleId="46">
    <w:name w:val="标题 1 Char"/>
    <w:basedOn w:val="19"/>
    <w:link w:val="2"/>
    <w:uiPriority w:val="9"/>
    <w:rPr>
      <w:b/>
      <w:bCs/>
      <w:kern w:val="44"/>
      <w:sz w:val="44"/>
      <w:szCs w:val="44"/>
    </w:rPr>
  </w:style>
  <w:style w:type="character" w:customStyle="1" w:styleId="47">
    <w:name w:val="副标题 Char"/>
    <w:basedOn w:val="19"/>
    <w:link w:val="14"/>
    <w:uiPriority w:val="11"/>
    <w:rPr>
      <w:rFonts w:eastAsia="宋体" w:asciiTheme="majorHAnsi" w:hAnsiTheme="majorHAnsi" w:cstheme="majorBidi"/>
      <w:b/>
      <w:bCs/>
      <w:kern w:val="28"/>
      <w:sz w:val="32"/>
      <w:szCs w:val="32"/>
    </w:rPr>
  </w:style>
  <w:style w:type="character" w:customStyle="1" w:styleId="48">
    <w:name w:val="标题 2 Char"/>
    <w:basedOn w:val="19"/>
    <w:link w:val="3"/>
    <w:qFormat/>
    <w:uiPriority w:val="9"/>
    <w:rPr>
      <w:rFonts w:asciiTheme="majorHAnsi" w:hAnsiTheme="majorHAnsi" w:eastAsiaTheme="majorEastAsia" w:cstheme="majorBidi"/>
      <w:b/>
      <w:bCs/>
      <w:sz w:val="32"/>
      <w:szCs w:val="32"/>
    </w:rPr>
  </w:style>
  <w:style w:type="character" w:customStyle="1" w:styleId="49">
    <w:name w:val="标题 3 Char"/>
    <w:basedOn w:val="19"/>
    <w:link w:val="4"/>
    <w:uiPriority w:val="9"/>
    <w:rPr>
      <w:b/>
      <w:bCs/>
      <w:sz w:val="32"/>
      <w:szCs w:val="32"/>
    </w:rPr>
  </w:style>
  <w:style w:type="character" w:customStyle="1" w:styleId="50">
    <w:name w:val="标题 4 Char"/>
    <w:basedOn w:val="19"/>
    <w:link w:val="5"/>
    <w:uiPriority w:val="9"/>
    <w:rPr>
      <w:rFonts w:asciiTheme="majorHAnsi" w:hAnsiTheme="majorHAnsi" w:eastAsiaTheme="majorEastAsia" w:cstheme="majorBidi"/>
      <w:b/>
      <w:bCs/>
      <w:sz w:val="28"/>
      <w:szCs w:val="28"/>
    </w:rPr>
  </w:style>
  <w:style w:type="character" w:customStyle="1" w:styleId="51">
    <w:name w:val="标题 5 Char"/>
    <w:basedOn w:val="19"/>
    <w:link w:val="6"/>
    <w:uiPriority w:val="9"/>
    <w:rPr>
      <w:b/>
      <w:bCs/>
      <w:sz w:val="28"/>
      <w:szCs w:val="28"/>
    </w:rPr>
  </w:style>
  <w:style w:type="character" w:customStyle="1" w:styleId="52">
    <w:name w:val="标题 6 Char"/>
    <w:basedOn w:val="19"/>
    <w:link w:val="7"/>
    <w:uiPriority w:val="9"/>
    <w:rPr>
      <w:rFonts w:asciiTheme="majorHAnsi" w:hAnsiTheme="majorHAnsi" w:eastAsiaTheme="majorEastAsia" w:cstheme="majorBidi"/>
      <w:b/>
      <w:bCs/>
      <w:sz w:val="24"/>
      <w:szCs w:val="24"/>
    </w:rPr>
  </w:style>
  <w:style w:type="paragraph" w:customStyle="1" w:styleId="53">
    <w:name w:val="TOC Heading"/>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2.xml"/><Relationship Id="rId56" Type="http://schemas.openxmlformats.org/officeDocument/2006/relationships/fontTable" Target="fontTable.xml"/><Relationship Id="rId55" Type="http://schemas.openxmlformats.org/officeDocument/2006/relationships/image" Target="media/image9.emf"/><Relationship Id="rId54" Type="http://schemas.openxmlformats.org/officeDocument/2006/relationships/image" Target="media/image8.emf"/><Relationship Id="rId53" Type="http://schemas.openxmlformats.org/officeDocument/2006/relationships/image" Target="media/image7.emf"/><Relationship Id="rId52" Type="http://schemas.openxmlformats.org/officeDocument/2006/relationships/image" Target="media/image6.emf"/><Relationship Id="rId51" Type="http://schemas.openxmlformats.org/officeDocument/2006/relationships/image" Target="media/image5.emf"/><Relationship Id="rId50" Type="http://schemas.openxmlformats.org/officeDocument/2006/relationships/image" Target="media/image4.emf"/><Relationship Id="rId5" Type="http://schemas.openxmlformats.org/officeDocument/2006/relationships/header" Target="header2.xml"/><Relationship Id="rId49" Type="http://schemas.openxmlformats.org/officeDocument/2006/relationships/image" Target="media/image3.emf"/><Relationship Id="rId48" Type="http://schemas.openxmlformats.org/officeDocument/2006/relationships/image" Target="media/image2.emf"/><Relationship Id="rId47" Type="http://schemas.openxmlformats.org/officeDocument/2006/relationships/image" Target="media/image1.emf"/><Relationship Id="rId46" Type="http://schemas.openxmlformats.org/officeDocument/2006/relationships/chart" Target="charts/chart39.xml"/><Relationship Id="rId45" Type="http://schemas.openxmlformats.org/officeDocument/2006/relationships/chart" Target="charts/chart38.xml"/><Relationship Id="rId44" Type="http://schemas.openxmlformats.org/officeDocument/2006/relationships/chart" Target="charts/chart37.xml"/><Relationship Id="rId43" Type="http://schemas.openxmlformats.org/officeDocument/2006/relationships/chart" Target="charts/chart36.xml"/><Relationship Id="rId42" Type="http://schemas.openxmlformats.org/officeDocument/2006/relationships/chart" Target="charts/chart35.xml"/><Relationship Id="rId41" Type="http://schemas.openxmlformats.org/officeDocument/2006/relationships/chart" Target="charts/chart34.xml"/><Relationship Id="rId40" Type="http://schemas.openxmlformats.org/officeDocument/2006/relationships/chart" Target="charts/chart33.xml"/><Relationship Id="rId4" Type="http://schemas.openxmlformats.org/officeDocument/2006/relationships/footer" Target="footer1.xml"/><Relationship Id="rId39" Type="http://schemas.openxmlformats.org/officeDocument/2006/relationships/chart" Target="charts/chart32.xml"/><Relationship Id="rId38" Type="http://schemas.openxmlformats.org/officeDocument/2006/relationships/chart" Target="charts/chart31.xml"/><Relationship Id="rId37" Type="http://schemas.openxmlformats.org/officeDocument/2006/relationships/chart" Target="charts/chart30.xml"/><Relationship Id="rId36" Type="http://schemas.openxmlformats.org/officeDocument/2006/relationships/chart" Target="charts/chart29.xml"/><Relationship Id="rId35" Type="http://schemas.openxmlformats.org/officeDocument/2006/relationships/chart" Target="charts/chart28.xml"/><Relationship Id="rId34" Type="http://schemas.openxmlformats.org/officeDocument/2006/relationships/chart" Target="charts/chart27.xml"/><Relationship Id="rId33" Type="http://schemas.openxmlformats.org/officeDocument/2006/relationships/chart" Target="charts/chart26.xml"/><Relationship Id="rId32" Type="http://schemas.openxmlformats.org/officeDocument/2006/relationships/chart" Target="charts/chart25.xml"/><Relationship Id="rId31" Type="http://schemas.openxmlformats.org/officeDocument/2006/relationships/chart" Target="charts/chart24.xml"/><Relationship Id="rId30" Type="http://schemas.openxmlformats.org/officeDocument/2006/relationships/chart" Target="charts/chart23.xml"/><Relationship Id="rId3" Type="http://schemas.openxmlformats.org/officeDocument/2006/relationships/header" Target="header1.xml"/><Relationship Id="rId29" Type="http://schemas.openxmlformats.org/officeDocument/2006/relationships/chart" Target="charts/chart22.xml"/><Relationship Id="rId28" Type="http://schemas.openxmlformats.org/officeDocument/2006/relationships/chart" Target="charts/chart21.xml"/><Relationship Id="rId27" Type="http://schemas.openxmlformats.org/officeDocument/2006/relationships/chart" Target="charts/chart20.xml"/><Relationship Id="rId26" Type="http://schemas.openxmlformats.org/officeDocument/2006/relationships/chart" Target="charts/chart19.xml"/><Relationship Id="rId25" Type="http://schemas.openxmlformats.org/officeDocument/2006/relationships/chart" Target="charts/chart18.xml"/><Relationship Id="rId24" Type="http://schemas.openxmlformats.org/officeDocument/2006/relationships/chart" Target="charts/chart17.xml"/><Relationship Id="rId23" Type="http://schemas.openxmlformats.org/officeDocument/2006/relationships/chart" Target="charts/chart16.xml"/><Relationship Id="rId22" Type="http://schemas.openxmlformats.org/officeDocument/2006/relationships/chart" Target="charts/chart15.xml"/><Relationship Id="rId21" Type="http://schemas.openxmlformats.org/officeDocument/2006/relationships/chart" Target="charts/chart14.xml"/><Relationship Id="rId20" Type="http://schemas.openxmlformats.org/officeDocument/2006/relationships/chart" Target="charts/chart13.xml"/><Relationship Id="rId2" Type="http://schemas.openxmlformats.org/officeDocument/2006/relationships/settings" Target="settings.xml"/><Relationship Id="rId19" Type="http://schemas.openxmlformats.org/officeDocument/2006/relationships/chart" Target="charts/chart12.xml"/><Relationship Id="rId18" Type="http://schemas.openxmlformats.org/officeDocument/2006/relationships/chart" Target="charts/chart11.xml"/><Relationship Id="rId17" Type="http://schemas.openxmlformats.org/officeDocument/2006/relationships/chart" Target="charts/chart10.xml"/><Relationship Id="rId16" Type="http://schemas.openxmlformats.org/officeDocument/2006/relationships/chart" Target="charts/chart9.xml"/><Relationship Id="rId15" Type="http://schemas.openxmlformats.org/officeDocument/2006/relationships/chart" Target="charts/chart8.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9.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Workbook2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Workbook10.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Workbook15.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Workbook26.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Workbook11.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Workbook16.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Workbook27.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Workbook12.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Workbook19.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5.xlsx"/></Relationships>
</file>

<file path=word/charts/_rels/chart20.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21.xml.rels><?xml version="1.0" encoding="UTF-8" standalone="yes"?>
<Relationships xmlns="http://schemas.openxmlformats.org/package/2006/relationships"><Relationship Id="rId1" Type="http://schemas.openxmlformats.org/officeDocument/2006/relationships/package" Target="../embeddings/Workbook18.xlsx"/></Relationships>
</file>

<file path=word/charts/_rels/chart22.xml.rels><?xml version="1.0" encoding="UTF-8" standalone="yes"?>
<Relationships xmlns="http://schemas.openxmlformats.org/package/2006/relationships"><Relationship Id="rId1" Type="http://schemas.openxmlformats.org/officeDocument/2006/relationships/package" Target="../embeddings/Workbook17.xlsx"/></Relationships>
</file>

<file path=word/charts/_rels/chart23.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24.xml.rels><?xml version="1.0" encoding="UTF-8" standalone="yes"?>
<Relationships xmlns="http://schemas.openxmlformats.org/package/2006/relationships"><Relationship Id="rId1" Type="http://schemas.openxmlformats.org/officeDocument/2006/relationships/package" Target="../embeddings/Workbook21.xlsx"/></Relationships>
</file>

<file path=word/charts/_rels/chart25.xml.rels><?xml version="1.0" encoding="UTF-8" standalone="yes"?>
<Relationships xmlns="http://schemas.openxmlformats.org/package/2006/relationships"><Relationship Id="rId1" Type="http://schemas.openxmlformats.org/officeDocument/2006/relationships/package" Target="../embeddings/Workbook23.xlsx"/></Relationships>
</file>

<file path=word/charts/_rels/chart26.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27.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28.xml.rels><?xml version="1.0" encoding="UTF-8" standalone="yes"?>
<Relationships xmlns="http://schemas.openxmlformats.org/package/2006/relationships"><Relationship Id="rId1" Type="http://schemas.openxmlformats.org/officeDocument/2006/relationships/package" Target="../embeddings/Workbook36.xlsx"/></Relationships>
</file>

<file path=word/charts/_rels/chart29.xml.rels><?xml version="1.0" encoding="UTF-8" standalone="yes"?>
<Relationships xmlns="http://schemas.openxmlformats.org/package/2006/relationships"><Relationship Id="rId1" Type="http://schemas.openxmlformats.org/officeDocument/2006/relationships/package" Target="../embeddings/Workbook33.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30.xml.rels><?xml version="1.0" encoding="UTF-8" standalone="yes"?>
<Relationships xmlns="http://schemas.openxmlformats.org/package/2006/relationships"><Relationship Id="rId1" Type="http://schemas.openxmlformats.org/officeDocument/2006/relationships/package" Target="../embeddings/Workbook32.xlsx"/></Relationships>
</file>

<file path=word/charts/_rels/chart31.xml.rels><?xml version="1.0" encoding="UTF-8" standalone="yes"?>
<Relationships xmlns="http://schemas.openxmlformats.org/package/2006/relationships"><Relationship Id="rId1" Type="http://schemas.openxmlformats.org/officeDocument/2006/relationships/package" Target="../embeddings/Workbook34.xlsx"/></Relationships>
</file>

<file path=word/charts/_rels/chart32.xml.rels><?xml version="1.0" encoding="UTF-8" standalone="yes"?>
<Relationships xmlns="http://schemas.openxmlformats.org/package/2006/relationships"><Relationship Id="rId1" Type="http://schemas.openxmlformats.org/officeDocument/2006/relationships/package" Target="../embeddings/Workbook31.xlsx"/></Relationships>
</file>

<file path=word/charts/_rels/chart33.xml.rels><?xml version="1.0" encoding="UTF-8" standalone="yes"?>
<Relationships xmlns="http://schemas.openxmlformats.org/package/2006/relationships"><Relationship Id="rId1" Type="http://schemas.openxmlformats.org/officeDocument/2006/relationships/package" Target="../embeddings/Workbook35.xlsx"/></Relationships>
</file>

<file path=word/charts/_rels/chart34.xml.rels><?xml version="1.0" encoding="UTF-8" standalone="yes"?>
<Relationships xmlns="http://schemas.openxmlformats.org/package/2006/relationships"><Relationship Id="rId1" Type="http://schemas.openxmlformats.org/officeDocument/2006/relationships/package" Target="../embeddings/Workbook39.xlsx"/></Relationships>
</file>

<file path=word/charts/_rels/chart35.xml.rels><?xml version="1.0" encoding="UTF-8" standalone="yes"?>
<Relationships xmlns="http://schemas.openxmlformats.org/package/2006/relationships"><Relationship Id="rId1" Type="http://schemas.openxmlformats.org/officeDocument/2006/relationships/package" Target="../embeddings/Workbook28.xlsx"/></Relationships>
</file>

<file path=word/charts/_rels/chart36.xml.rels><?xml version="1.0" encoding="UTF-8" standalone="yes"?>
<Relationships xmlns="http://schemas.openxmlformats.org/package/2006/relationships"><Relationship Id="rId1" Type="http://schemas.openxmlformats.org/officeDocument/2006/relationships/package" Target="../embeddings/Workbook37.xlsx"/></Relationships>
</file>

<file path=word/charts/_rels/chart37.xml.rels><?xml version="1.0" encoding="UTF-8" standalone="yes"?>
<Relationships xmlns="http://schemas.openxmlformats.org/package/2006/relationships"><Relationship Id="rId1" Type="http://schemas.openxmlformats.org/officeDocument/2006/relationships/package" Target="../embeddings/Workbook29.xlsx"/></Relationships>
</file>

<file path=word/charts/_rels/chart38.xml.rels><?xml version="1.0" encoding="UTF-8" standalone="yes"?>
<Relationships xmlns="http://schemas.openxmlformats.org/package/2006/relationships"><Relationship Id="rId1" Type="http://schemas.openxmlformats.org/officeDocument/2006/relationships/package" Target="../embeddings/Workbook30.xlsx"/></Relationships>
</file>

<file path=word/charts/_rels/chart39.xml.rels><?xml version="1.0" encoding="UTF-8" standalone="yes"?>
<Relationships xmlns="http://schemas.openxmlformats.org/package/2006/relationships"><Relationship Id="rId1" Type="http://schemas.openxmlformats.org/officeDocument/2006/relationships/package" Target="../embeddings/Workbook38.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1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14.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8.xlsx"/></Relationships>
</file>

<file path=word/charts/_rels/chart8.xml.rels><?xml version="1.0" encoding="UTF-8" standalone="yes"?>
<Relationships xmlns="http://schemas.openxmlformats.org/package/2006/relationships"><Relationship Id="rId1" Type="http://schemas.openxmlformats.org/officeDocument/2006/relationships/package" Target="../embeddings/Workbook22.xlsx"/></Relationships>
</file>

<file path=word/charts/_rels/chart9.xml.rels><?xml version="1.0" encoding="UTF-8" standalone="yes"?>
<Relationships xmlns="http://schemas.openxmlformats.org/package/2006/relationships"><Relationship Id="rId1" Type="http://schemas.openxmlformats.org/officeDocument/2006/relationships/package" Target="../embeddings/Workbook2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barChart>
        <c:barDir val="col"/>
        <c:grouping val="clustered"/>
        <c:varyColors val="0"/>
        <c:ser>
          <c:idx val="0"/>
          <c:order val="0"/>
          <c:tx>
            <c:strRef>
              <c:f>Sheet1!$B$1</c:f>
              <c:strCache>
                <c:ptCount val="1"/>
                <c:pt idx="0">
                  <c:v>C30</c:v>
                </c:pt>
              </c:strCache>
            </c:strRef>
          </c:tx>
          <c:invertIfNegative val="0"/>
          <c:dLbls>
            <c:delete val="1"/>
          </c:dLbls>
          <c:cat>
            <c:strRef>
              <c:f>Sheet1!$A$2:$A$3</c:f>
              <c:strCache>
                <c:ptCount val="2"/>
                <c:pt idx="0">
                  <c:v>梁</c:v>
                </c:pt>
                <c:pt idx="1">
                  <c:v>柱</c:v>
                </c:pt>
              </c:strCache>
            </c:strRef>
          </c:cat>
          <c:val>
            <c:numRef>
              <c:f>Sheet1!$B$2:$B$3</c:f>
              <c:numCache>
                <c:formatCode>General</c:formatCode>
                <c:ptCount val="2"/>
                <c:pt idx="0">
                  <c:v>48</c:v>
                </c:pt>
                <c:pt idx="1">
                  <c:v>10</c:v>
                </c:pt>
              </c:numCache>
            </c:numRef>
          </c:val>
        </c:ser>
        <c:dLbls>
          <c:showLegendKey val="0"/>
          <c:showVal val="0"/>
          <c:showCatName val="0"/>
          <c:showSerName val="0"/>
          <c:showPercent val="0"/>
          <c:showBubbleSize val="0"/>
        </c:dLbls>
        <c:gapWidth val="150"/>
        <c:axId val="1"/>
        <c:axId val="2"/>
      </c:barChart>
      <c:catAx>
        <c:axId val="1"/>
        <c:scaling>
          <c:orientation val="minMax"/>
        </c:scaling>
        <c:delete val="0"/>
        <c:axPos val="b"/>
        <c:majorGridlines/>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auto val="1"/>
        <c:lblAlgn val="ctr"/>
        <c:lblOffset val="100"/>
        <c:tickLblSkip val="1"/>
        <c:noMultiLvlLbl val="0"/>
      </c:cat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单位:数量</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between"/>
      </c:valAx>
      <c:spPr>
        <a:solidFill>
          <a:schemeClr val="bg1"/>
        </a:solid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限值线:1.0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c:v>
                </c:pt>
                <c:pt idx="1">
                  <c:v>1</c:v>
                </c:pt>
              </c:numCache>
            </c:numRef>
          </c:xVal>
          <c:yVal>
            <c:numRef>
              <c:f>Sheet1!$E$2:$E$3</c:f>
              <c:numCache>
                <c:formatCode>General</c:formatCode>
                <c:ptCount val="2"/>
                <c:pt idx="0">
                  <c:v>0</c:v>
                </c:pt>
                <c:pt idx="1">
                  <c:v>1</c:v>
                </c:pt>
              </c:numCache>
            </c:numRef>
          </c:yVal>
          <c:smooth val="0"/>
        </c:ser>
        <c:ser>
          <c:idx val="1"/>
          <c:order val="1"/>
          <c:tx>
            <c:strRef>
              <c:f>Sheet1!$F$1</c:f>
              <c:strCache>
                <c:ptCount val="1"/>
                <c:pt idx="0">
                  <c:v>X向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2"/>
                <c:pt idx="0">
                  <c:v>1</c:v>
                </c:pt>
                <c:pt idx="1">
                  <c:v>2</c:v>
                </c:pt>
              </c:numCache>
            </c:numRef>
          </c:xVal>
          <c:yVal>
            <c:numRef>
              <c:f>Sheet1!$F$2:$F$2</c:f>
              <c:numCache>
                <c:formatCode>General</c:formatCode>
                <c:ptCount val="1"/>
                <c:pt idx="0">
                  <c:v>1</c:v>
                </c:pt>
              </c:numCache>
            </c:numRef>
          </c:yVal>
          <c:smooth val="0"/>
        </c:ser>
        <c:ser>
          <c:idx val="2"/>
          <c:order val="2"/>
          <c:tx>
            <c:strRef>
              <c:f>Sheet1!$G$1</c:f>
              <c:strCache>
                <c:ptCount val="1"/>
                <c:pt idx="0">
                  <c:v>Y向</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Sheet1!$D$2:$D$2</c:f>
              <c:numCache>
                <c:formatCode>General</c:formatCode>
                <c:ptCount val="2"/>
                <c:pt idx="0">
                  <c:v>1</c:v>
                </c:pt>
                <c:pt idx="1">
                  <c:v>2</c:v>
                </c:pt>
              </c:numCache>
            </c:numRef>
          </c:xVal>
          <c:yVal>
            <c:numRef>
              <c:f>Sheet1!$G$2:$G$2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刚度比1</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限值线:8.00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8</c:v>
                </c:pt>
                <c:pt idx="1">
                  <c:v>8</c:v>
                </c:pt>
              </c:numCache>
            </c:numRef>
          </c:xVal>
          <c:yVal>
            <c:numRef>
              <c:f>Sheet1!$E$2:$E$3</c:f>
              <c:numCache>
                <c:formatCode>General</c:formatCode>
                <c:ptCount val="2"/>
                <c:pt idx="0">
                  <c:v>0</c:v>
                </c:pt>
                <c:pt idx="1">
                  <c:v>1</c:v>
                </c:pt>
              </c:numCache>
            </c:numRef>
          </c:yVal>
          <c:smooth val="0"/>
        </c:ser>
        <c:ser>
          <c:idx val="1"/>
          <c:order val="1"/>
          <c:tx>
            <c:strRef>
              <c:f>Sheet1!$F$1</c:f>
              <c:strCache>
                <c:ptCount val="1"/>
                <c:pt idx="0">
                  <c:v>X向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2"/>
                <c:pt idx="0">
                  <c:v>10</c:v>
                </c:pt>
                <c:pt idx="1">
                  <c:v>2</c:v>
                </c:pt>
              </c:numCache>
            </c:numRef>
          </c:xVal>
          <c:yVal>
            <c:numRef>
              <c:f>Sheet1!$F$2:$F$2</c:f>
              <c:numCache>
                <c:formatCode>General</c:formatCode>
                <c:ptCount val="1"/>
                <c:pt idx="0">
                  <c:v>1</c:v>
                </c:pt>
              </c:numCache>
            </c:numRef>
          </c:yVal>
          <c:smooth val="0"/>
        </c:ser>
        <c:ser>
          <c:idx val="2"/>
          <c:order val="2"/>
          <c:tx>
            <c:strRef>
              <c:f>Sheet1!$G$1</c:f>
              <c:strCache>
                <c:ptCount val="1"/>
                <c:pt idx="0">
                  <c:v>Y向</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Sheet1!$D$2:$D$2</c:f>
              <c:numCache>
                <c:formatCode>General</c:formatCode>
                <c:ptCount val="2"/>
                <c:pt idx="0">
                  <c:v>10</c:v>
                </c:pt>
                <c:pt idx="1">
                  <c:v>2</c:v>
                </c:pt>
              </c:numCache>
            </c:numRef>
          </c:xVal>
          <c:yVal>
            <c:numRef>
              <c:f>Sheet1!$G$2:$G$2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承载力比(*1/10)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barChart>
        <c:barDir val="col"/>
        <c:grouping val="stacked"/>
        <c:varyColors val="0"/>
        <c:ser>
          <c:idx val="0"/>
          <c:order val="0"/>
          <c:tx>
            <c:strRef>
              <c:f>Sheet1!$B$1</c:f>
              <c:strCache>
                <c:ptCount val="1"/>
                <c:pt idx="0">
                  <c:v>系列0</c:v>
                </c:pt>
              </c:strCache>
            </c:strRef>
          </c:tx>
          <c:spPr>
            <a:solidFill>
              <a:srgbClr val="0000FF"/>
            </a:solidFill>
          </c:spPr>
          <c:invertIfNegative val="0"/>
          <c:dLbls>
            <c:delete val="1"/>
          </c:dLbls>
          <c:cat>
            <c:strRef>
              <c:f>Sheet1!$A$2:$A$4</c:f>
              <c:strCache>
                <c:ptCount val="3"/>
                <c:pt idx="0">
                  <c:v>振型1</c:v>
                </c:pt>
                <c:pt idx="1">
                  <c:v>振型2</c:v>
                </c:pt>
                <c:pt idx="2">
                  <c:v>振型3</c:v>
                </c:pt>
              </c:strCache>
            </c:strRef>
          </c:cat>
          <c:val>
            <c:numRef>
              <c:f>Sheet1!$B$2:$B$4</c:f>
              <c:numCache>
                <c:formatCode>General</c:formatCode>
                <c:ptCount val="3"/>
                <c:pt idx="0">
                  <c:v>0.6158</c:v>
                </c:pt>
                <c:pt idx="1">
                  <c:v>0.4705</c:v>
                </c:pt>
                <c:pt idx="2">
                  <c:v>0.0499</c:v>
                </c:pt>
              </c:numCache>
            </c:numRef>
          </c:val>
        </c:ser>
        <c:ser>
          <c:idx val="1"/>
          <c:order val="1"/>
          <c:tx>
            <c:strRef>
              <c:f>Sheet1!$C$1</c:f>
              <c:strCache>
                <c:ptCount val="1"/>
                <c:pt idx="0">
                  <c:v>系列1</c:v>
                </c:pt>
              </c:strCache>
            </c:strRef>
          </c:tx>
          <c:spPr>
            <a:solidFill>
              <a:srgbClr val="FF0000"/>
            </a:solidFill>
          </c:spPr>
          <c:invertIfNegative val="0"/>
          <c:dLbls>
            <c:delete val="1"/>
          </c:dLbls>
          <c:cat>
            <c:strRef>
              <c:f>Sheet1!$A$2:$A$4</c:f>
              <c:strCache>
                <c:ptCount val="3"/>
                <c:pt idx="0">
                  <c:v>振型1</c:v>
                </c:pt>
                <c:pt idx="1">
                  <c:v>振型2</c:v>
                </c:pt>
                <c:pt idx="2">
                  <c:v>振型3</c:v>
                </c:pt>
              </c:strCache>
            </c:strRef>
          </c:cat>
          <c:val>
            <c:numRef>
              <c:f>Sheet1!$C$2:$C$4</c:f>
              <c:numCache>
                <c:formatCode>General</c:formatCode>
                <c:ptCount val="3"/>
                <c:pt idx="0">
                  <c:v>0.0003</c:v>
                </c:pt>
                <c:pt idx="1">
                  <c:v>0.0572</c:v>
                </c:pt>
                <c:pt idx="2">
                  <c:v>0.4081</c:v>
                </c:pt>
              </c:numCache>
            </c:numRef>
          </c:val>
        </c:ser>
        <c:dLbls>
          <c:showLegendKey val="0"/>
          <c:showVal val="0"/>
          <c:showCatName val="0"/>
          <c:showSerName val="0"/>
          <c:showPercent val="0"/>
          <c:showBubbleSize val="0"/>
        </c:dLbls>
        <c:gapWidth val="150"/>
        <c:overlap val="100"/>
        <c:axId val="1"/>
        <c:axId val="2"/>
      </c:barChart>
      <c:catAx>
        <c:axId val="1"/>
        <c:scaling>
          <c:orientation val="minMax"/>
        </c:scaling>
        <c:delete val="0"/>
        <c:axPos val="b"/>
        <c:majorGridlines/>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auto val="1"/>
        <c:lblAlgn val="ctr"/>
        <c:lblOffset val="100"/>
        <c:tickLblSkip val="1"/>
        <c:noMultiLvlLbl val="0"/>
      </c:cat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单位:s</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between"/>
      </c:valAx>
      <c:spPr>
        <a:solidFill>
          <a:schemeClr val="bg1"/>
        </a:solid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1</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0.001135</c:v>
                </c:pt>
              </c:numCache>
            </c:numRef>
          </c:xVal>
          <c:yVal>
            <c:numRef>
              <c:f>Sheet1!$E$2:$E$2</c:f>
              <c:numCache>
                <c:formatCode>General</c:formatCode>
                <c:ptCount val="1"/>
                <c:pt idx="0">
                  <c:v>1</c:v>
                </c:pt>
              </c:numCache>
            </c:numRef>
          </c:yVal>
          <c:smooth val="0"/>
        </c:ser>
        <c:ser>
          <c:idx val="1"/>
          <c:order val="1"/>
          <c:tx>
            <c:strRef>
              <c:f>Sheet1!$F$1</c:f>
              <c:strCache>
                <c:ptCount val="1"/>
                <c:pt idx="0">
                  <c:v>2</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18.261187</c:v>
                </c:pt>
              </c:numCache>
            </c:numRef>
          </c:xVal>
          <c:yVal>
            <c:numRef>
              <c:f>Sheet1!$F$2:$F$2</c:f>
              <c:numCache>
                <c:formatCode>General</c:formatCode>
                <c:ptCount val="1"/>
                <c:pt idx="0">
                  <c:v>1</c:v>
                </c:pt>
              </c:numCache>
            </c:numRef>
          </c:yVal>
          <c:smooth val="0"/>
        </c:ser>
        <c:ser>
          <c:idx val="2"/>
          <c:order val="2"/>
          <c:tx>
            <c:strRef>
              <c:f>Sheet1!$G$1</c:f>
              <c:strCache>
                <c:ptCount val="1"/>
                <c:pt idx="0">
                  <c:v>3</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Sheet1!$D$2:$D$2</c:f>
              <c:numCache>
                <c:formatCode>General</c:formatCode>
                <c:ptCount val="1"/>
                <c:pt idx="0">
                  <c:v>2.224947</c:v>
                </c:pt>
              </c:numCache>
            </c:numRef>
          </c:xVal>
          <c:yVal>
            <c:numRef>
              <c:f>Sheet1!$G$2:$G$2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1</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2.047634</c:v>
                </c:pt>
              </c:numCache>
            </c:numRef>
          </c:xVal>
          <c:yVal>
            <c:numRef>
              <c:f>Sheet1!$E$2:$E$2</c:f>
              <c:numCache>
                <c:formatCode>General</c:formatCode>
                <c:ptCount val="1"/>
                <c:pt idx="0">
                  <c:v>1</c:v>
                </c:pt>
              </c:numCache>
            </c:numRef>
          </c:yVal>
          <c:smooth val="0"/>
        </c:ser>
        <c:ser>
          <c:idx val="1"/>
          <c:order val="1"/>
          <c:tx>
            <c:strRef>
              <c:f>Sheet1!$F$1</c:f>
              <c:strCache>
                <c:ptCount val="1"/>
                <c:pt idx="0">
                  <c:v>2</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0.000415</c:v>
                </c:pt>
              </c:numCache>
            </c:numRef>
          </c:xVal>
          <c:yVal>
            <c:numRef>
              <c:f>Sheet1!$F$2:$F$2</c:f>
              <c:numCache>
                <c:formatCode>General</c:formatCode>
                <c:ptCount val="1"/>
                <c:pt idx="0">
                  <c:v>1</c:v>
                </c:pt>
              </c:numCache>
            </c:numRef>
          </c:yVal>
          <c:smooth val="0"/>
        </c:ser>
        <c:ser>
          <c:idx val="2"/>
          <c:order val="2"/>
          <c:tx>
            <c:strRef>
              <c:f>Sheet1!$G$1</c:f>
              <c:strCache>
                <c:ptCount val="1"/>
                <c:pt idx="0">
                  <c:v>3</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Sheet1!$D$2:$D$2</c:f>
              <c:numCache>
                <c:formatCode>General</c:formatCode>
                <c:ptCount val="1"/>
                <c:pt idx="0">
                  <c:v>0.000677</c:v>
                </c:pt>
              </c:numCache>
            </c:numRef>
          </c:xVal>
          <c:yVal>
            <c:numRef>
              <c:f>Sheet1!$G$2:$G$2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力(*100kN)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0.000114</c:v>
                </c:pt>
                <c:pt idx="1">
                  <c:v>1.826119</c:v>
                </c:pt>
                <c:pt idx="2">
                  <c:v>0.222495</c:v>
                </c:pt>
              </c:numCache>
            </c:numRef>
          </c:xVal>
          <c:yVal>
            <c:numRef>
              <c:f>Sheet1!$D$2:$D$4</c:f>
              <c:numCache>
                <c:formatCode>General</c:formatCode>
                <c:ptCount val="3"/>
                <c:pt idx="0">
                  <c:v>1</c:v>
                </c:pt>
                <c:pt idx="1">
                  <c:v>2</c:v>
                </c:pt>
                <c:pt idx="2">
                  <c:v>3</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2.047634</c:v>
                </c:pt>
                <c:pt idx="1">
                  <c:v>0.000415</c:v>
                </c:pt>
                <c:pt idx="2">
                  <c:v>0.000677</c:v>
                </c:pt>
              </c:numCache>
            </c:numRef>
          </c:xVal>
          <c:yVal>
            <c:numRef>
              <c:f>Sheet1!$E$2:$E$4</c:f>
              <c:numCache>
                <c:formatCode>General</c:formatCode>
                <c:ptCount val="3"/>
                <c:pt idx="0">
                  <c:v>1</c:v>
                </c:pt>
                <c:pt idx="1">
                  <c:v>2</c:v>
                </c:pt>
                <c:pt idx="2">
                  <c:v>3</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振型</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1.911331</c:v>
                </c:pt>
              </c:numCache>
            </c:numRef>
          </c:xVal>
          <c:yVal>
            <c:numRef>
              <c:f>Sheet1!$D$2:$D$3</c:f>
              <c:numCache>
                <c:formatCode>General</c:formatCode>
                <c:ptCount val="2"/>
                <c:pt idx="0">
                  <c:v>0</c:v>
                </c:pt>
                <c:pt idx="1">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2.047634</c:v>
                </c:pt>
              </c:numCache>
            </c:numRef>
          </c:xVal>
          <c:yVal>
            <c:numRef>
              <c:f>Sheet1!$E$2:$E$3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限值线:1.60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1.6</c:v>
                </c:pt>
                <c:pt idx="1">
                  <c:v>1.6</c:v>
                </c:pt>
              </c:numCache>
            </c:numRef>
          </c:xVal>
          <c:yVal>
            <c:numRef>
              <c:f>Sheet1!$E$2:$E$3</c:f>
              <c:numCache>
                <c:formatCode>General</c:formatCode>
                <c:ptCount val="2"/>
                <c:pt idx="0">
                  <c:v>0</c:v>
                </c:pt>
                <c:pt idx="1">
                  <c:v>1</c:v>
                </c:pt>
              </c:numCache>
            </c:numRef>
          </c:yVal>
          <c:smooth val="0"/>
        </c:ser>
        <c:ser>
          <c:idx val="1"/>
          <c:order val="1"/>
          <c:tx>
            <c:strRef>
              <c:f>Sheet1!$F$1</c:f>
              <c:strCache>
                <c:ptCount val="1"/>
                <c:pt idx="0">
                  <c:v>X向地震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2"/>
                <c:pt idx="0">
                  <c:v>7.46349</c:v>
                </c:pt>
                <c:pt idx="1">
                  <c:v>2</c:v>
                </c:pt>
              </c:numCache>
            </c:numRef>
          </c:xVal>
          <c:yVal>
            <c:numRef>
              <c:f>Sheet1!$F$2:$F$2</c:f>
              <c:numCache>
                <c:formatCode>General</c:formatCode>
                <c:ptCount val="1"/>
                <c:pt idx="0">
                  <c:v>1</c:v>
                </c:pt>
              </c:numCache>
            </c:numRef>
          </c:yVal>
          <c:smooth val="0"/>
        </c:ser>
        <c:ser>
          <c:idx val="2"/>
          <c:order val="2"/>
          <c:tx>
            <c:strRef>
              <c:f>Sheet1!$G$1</c:f>
              <c:strCache>
                <c:ptCount val="1"/>
                <c:pt idx="0">
                  <c:v>Y向地震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Sheet1!$D$2:$D$2</c:f>
              <c:numCache>
                <c:formatCode>General</c:formatCode>
                <c:ptCount val="2"/>
                <c:pt idx="0">
                  <c:v>7.995735</c:v>
                </c:pt>
                <c:pt idx="1">
                  <c:v>2</c:v>
                </c:pt>
              </c:numCache>
            </c:numRef>
          </c:xVal>
          <c:yVal>
            <c:numRef>
              <c:f>Sheet1!$G$2:$G$2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剪重比(%)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1</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1</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调整系数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191.133148</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204.763428</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规定水平力(kN)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恒载</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2.504646</c:v>
                </c:pt>
              </c:numCache>
            </c:numRef>
          </c:xVal>
          <c:yVal>
            <c:numRef>
              <c:f>Sheet1!$E$2:$E$2</c:f>
              <c:numCache>
                <c:formatCode>General</c:formatCode>
                <c:ptCount val="1"/>
                <c:pt idx="0">
                  <c:v>1</c:v>
                </c:pt>
              </c:numCache>
            </c:numRef>
          </c:yVal>
          <c:smooth val="0"/>
        </c:ser>
        <c:ser>
          <c:idx val="1"/>
          <c:order val="1"/>
          <c:tx>
            <c:strRef>
              <c:f>Sheet1!$F$1</c:f>
              <c:strCache>
                <c:ptCount val="1"/>
                <c:pt idx="0">
                  <c:v>活载</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0.056262</c:v>
                </c:pt>
              </c:numCache>
            </c:numRef>
          </c:xVal>
          <c:yVal>
            <c:numRef>
              <c:f>Sheet1!$F$2:$F$2</c:f>
              <c:numCache>
                <c:formatCode>General</c:formatCode>
                <c:ptCount val="1"/>
                <c:pt idx="0">
                  <c:v>1</c:v>
                </c:pt>
              </c:numCache>
            </c:numRef>
          </c:yVal>
          <c:smooth val="0"/>
        </c:ser>
        <c:ser>
          <c:idx val="2"/>
          <c:order val="2"/>
          <c:tx>
            <c:strRef>
              <c:f>Sheet1!$G$1</c:f>
              <c:strCache>
                <c:ptCount val="1"/>
                <c:pt idx="0">
                  <c:v>层质量</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Sheet1!$D$2:$D$2</c:f>
              <c:numCache>
                <c:formatCode>General</c:formatCode>
                <c:ptCount val="1"/>
                <c:pt idx="0">
                  <c:v>2.560909</c:v>
                </c:pt>
              </c:numCache>
            </c:numRef>
          </c:xVal>
          <c:yVal>
            <c:numRef>
              <c:f>Sheet1!$G$2:$G$2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质量(*100t)</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14.526121</c:v>
                </c:pt>
              </c:numCache>
            </c:numRef>
          </c:xVal>
          <c:yVal>
            <c:numRef>
              <c:f>Sheet1!$F$2:$F$3</c:f>
              <c:numCache>
                <c:formatCode>General</c:formatCode>
                <c:ptCount val="2"/>
                <c:pt idx="0">
                  <c:v>0</c:v>
                </c:pt>
                <c:pt idx="1">
                  <c:v>1</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0</c:v>
                </c:pt>
              </c:numCache>
            </c:numRef>
          </c:xVal>
          <c:yVal>
            <c:numRef>
              <c:f>Sheet1!$G$2:$G$3</c:f>
              <c:numCache>
                <c:formatCode>General</c:formatCode>
                <c:ptCount val="2"/>
                <c:pt idx="0">
                  <c:v>0</c:v>
                </c:pt>
                <c:pt idx="1">
                  <c:v>1</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0</c:v>
                </c:pt>
                <c:pt idx="1">
                  <c:v>0</c:v>
                </c:pt>
              </c:numCache>
            </c:numRef>
          </c:xVal>
          <c:yVal>
            <c:numRef>
              <c:f>Sheet1!$H$2:$H$3</c:f>
              <c:numCache>
                <c:formatCode>General</c:formatCode>
                <c:ptCount val="2"/>
                <c:pt idx="0">
                  <c:v>0</c:v>
                </c:pt>
                <c:pt idx="1">
                  <c:v>1</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Sheet1!$E$2:$E$3</c:f>
              <c:numCache>
                <c:formatCode>General</c:formatCode>
                <c:ptCount val="2"/>
                <c:pt idx="0">
                  <c:v>0</c:v>
                </c:pt>
                <c:pt idx="1">
                  <c:v>0</c:v>
                </c:pt>
              </c:numCache>
            </c:numRef>
          </c:xVal>
          <c:yVal>
            <c:numRef>
              <c:f>Sheet1!$I$2:$I$3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15.562019</c:v>
                </c:pt>
              </c:numCache>
            </c:numRef>
          </c:xVal>
          <c:yVal>
            <c:numRef>
              <c:f>Sheet1!$F$2:$F$3</c:f>
              <c:numCache>
                <c:formatCode>General</c:formatCode>
                <c:ptCount val="2"/>
                <c:pt idx="0">
                  <c:v>0</c:v>
                </c:pt>
                <c:pt idx="1">
                  <c:v>1</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0</c:v>
                </c:pt>
              </c:numCache>
            </c:numRef>
          </c:xVal>
          <c:yVal>
            <c:numRef>
              <c:f>Sheet1!$G$2:$G$3</c:f>
              <c:numCache>
                <c:formatCode>General</c:formatCode>
                <c:ptCount val="2"/>
                <c:pt idx="0">
                  <c:v>0</c:v>
                </c:pt>
                <c:pt idx="1">
                  <c:v>1</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0</c:v>
                </c:pt>
                <c:pt idx="1">
                  <c:v>0</c:v>
                </c:pt>
              </c:numCache>
            </c:numRef>
          </c:xVal>
          <c:yVal>
            <c:numRef>
              <c:f>Sheet1!$H$2:$H$3</c:f>
              <c:numCache>
                <c:formatCode>General</c:formatCode>
                <c:ptCount val="2"/>
                <c:pt idx="0">
                  <c:v>0</c:v>
                </c:pt>
                <c:pt idx="1">
                  <c:v>1</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Sheet1!$E$2:$E$3</c:f>
              <c:numCache>
                <c:formatCode>General</c:formatCode>
                <c:ptCount val="2"/>
                <c:pt idx="0">
                  <c:v>0</c:v>
                </c:pt>
                <c:pt idx="1">
                  <c:v>0</c:v>
                </c:pt>
              </c:numCache>
            </c:numRef>
          </c:xVal>
          <c:yVal>
            <c:numRef>
              <c:f>Sheet1!$I$2:$I$3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14.526117</c:v>
                </c:pt>
              </c:numCache>
            </c:numRef>
          </c:xVal>
          <c:yVal>
            <c:numRef>
              <c:f>Sheet1!$F$2:$F$3</c:f>
              <c:numCache>
                <c:formatCode>General</c:formatCode>
                <c:ptCount val="2"/>
                <c:pt idx="0">
                  <c:v>0</c:v>
                </c:pt>
                <c:pt idx="1">
                  <c:v>1</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0</c:v>
                </c:pt>
              </c:numCache>
            </c:numRef>
          </c:xVal>
          <c:yVal>
            <c:numRef>
              <c:f>Sheet1!$G$2:$G$3</c:f>
              <c:numCache>
                <c:formatCode>General</c:formatCode>
                <c:ptCount val="2"/>
                <c:pt idx="0">
                  <c:v>0</c:v>
                </c:pt>
                <c:pt idx="1">
                  <c:v>1</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0</c:v>
                </c:pt>
                <c:pt idx="1">
                  <c:v>0</c:v>
                </c:pt>
              </c:numCache>
            </c:numRef>
          </c:xVal>
          <c:yVal>
            <c:numRef>
              <c:f>Sheet1!$H$2:$H$3</c:f>
              <c:numCache>
                <c:formatCode>General</c:formatCode>
                <c:ptCount val="2"/>
                <c:pt idx="0">
                  <c:v>0</c:v>
                </c:pt>
                <c:pt idx="1">
                  <c:v>1</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Sheet1!$E$2:$E$3</c:f>
              <c:numCache>
                <c:formatCode>General</c:formatCode>
                <c:ptCount val="2"/>
                <c:pt idx="0">
                  <c:v>0</c:v>
                </c:pt>
                <c:pt idx="1">
                  <c:v>0</c:v>
                </c:pt>
              </c:numCache>
            </c:numRef>
          </c:xVal>
          <c:yVal>
            <c:numRef>
              <c:f>Sheet1!$I$2:$I$3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15.562021</c:v>
                </c:pt>
              </c:numCache>
            </c:numRef>
          </c:xVal>
          <c:yVal>
            <c:numRef>
              <c:f>Sheet1!$F$2:$F$3</c:f>
              <c:numCache>
                <c:formatCode>General</c:formatCode>
                <c:ptCount val="2"/>
                <c:pt idx="0">
                  <c:v>0</c:v>
                </c:pt>
                <c:pt idx="1">
                  <c:v>1</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0</c:v>
                </c:pt>
              </c:numCache>
            </c:numRef>
          </c:xVal>
          <c:yVal>
            <c:numRef>
              <c:f>Sheet1!$G$2:$G$3</c:f>
              <c:numCache>
                <c:formatCode>General</c:formatCode>
                <c:ptCount val="2"/>
                <c:pt idx="0">
                  <c:v>0</c:v>
                </c:pt>
                <c:pt idx="1">
                  <c:v>1</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0</c:v>
                </c:pt>
                <c:pt idx="1">
                  <c:v>0</c:v>
                </c:pt>
              </c:numCache>
            </c:numRef>
          </c:xVal>
          <c:yVal>
            <c:numRef>
              <c:f>Sheet1!$H$2:$H$3</c:f>
              <c:numCache>
                <c:formatCode>General</c:formatCode>
                <c:ptCount val="2"/>
                <c:pt idx="0">
                  <c:v>0</c:v>
                </c:pt>
                <c:pt idx="1">
                  <c:v>1</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Sheet1!$E$2:$E$3</c:f>
              <c:numCache>
                <c:formatCode>General</c:formatCode>
                <c:ptCount val="2"/>
                <c:pt idx="0">
                  <c:v>0</c:v>
                </c:pt>
                <c:pt idx="1">
                  <c:v>0</c:v>
                </c:pt>
              </c:numCache>
            </c:numRef>
          </c:xVal>
          <c:yVal>
            <c:numRef>
              <c:f>Sheet1!$I$2:$I$3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框架剪力</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19.113316</c:v>
                </c:pt>
              </c:numCache>
            </c:numRef>
          </c:xVal>
          <c:yVal>
            <c:numRef>
              <c:f>Sheet1!$D$2:$D$3</c:f>
              <c:numCache>
                <c:formatCode>General</c:formatCode>
                <c:ptCount val="2"/>
                <c:pt idx="0">
                  <c:v>0</c:v>
                </c:pt>
                <c:pt idx="1">
                  <c:v>1</c:v>
                </c:pt>
              </c:numCache>
            </c:numRef>
          </c:yVal>
          <c:smooth val="0"/>
        </c:ser>
        <c:ser>
          <c:idx val="1"/>
          <c:order val="1"/>
          <c:tx>
            <c:strRef>
              <c:f>Sheet1!$E$1</c:f>
              <c:strCache>
                <c:ptCount val="1"/>
                <c:pt idx="0">
                  <c:v>墙及支撑剪力</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0</c:v>
                </c:pt>
              </c:numCache>
            </c:numRef>
          </c:xVal>
          <c:yVal>
            <c:numRef>
              <c:f>Sheet1!$E$2:$E$3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框架剪力</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2.047634</c:v>
                </c:pt>
              </c:numCache>
            </c:numRef>
          </c:xVal>
          <c:yVal>
            <c:numRef>
              <c:f>Sheet1!$D$2:$D$3</c:f>
              <c:numCache>
                <c:formatCode>General</c:formatCode>
                <c:ptCount val="2"/>
                <c:pt idx="0">
                  <c:v>0</c:v>
                </c:pt>
                <c:pt idx="1">
                  <c:v>1</c:v>
                </c:pt>
              </c:numCache>
            </c:numRef>
          </c:yVal>
          <c:smooth val="0"/>
        </c:ser>
        <c:ser>
          <c:idx val="1"/>
          <c:order val="1"/>
          <c:tx>
            <c:strRef>
              <c:f>Sheet1!$E$1</c:f>
              <c:strCache>
                <c:ptCount val="1"/>
                <c:pt idx="0">
                  <c:v>墙及支撑剪力</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0</c:v>
                </c:pt>
              </c:numCache>
            </c:numRef>
          </c:xVal>
          <c:yVal>
            <c:numRef>
              <c:f>Sheet1!$E$2:$E$3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Sheet1!$B$2:$B$3</c:f>
              <c:numCache>
                <c:formatCode>General</c:formatCode>
                <c:ptCount val="2"/>
                <c:pt idx="0">
                  <c:v>0</c:v>
                </c:pt>
                <c:pt idx="1">
                  <c:v>6.448639</c:v>
                </c:pt>
              </c:numCache>
            </c:numRef>
          </c:xVal>
          <c:yVal>
            <c:numRef>
              <c:f>Sheet1!$J$2:$J$3</c:f>
              <c:numCache>
                <c:formatCode>General</c:formatCode>
                <c:ptCount val="2"/>
                <c:pt idx="0">
                  <c:v>0</c:v>
                </c:pt>
                <c:pt idx="1">
                  <c:v>1</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Sheet1!$C$2:$C$3</c:f>
              <c:numCache>
                <c:formatCode>General</c:formatCode>
                <c:ptCount val="2"/>
                <c:pt idx="0">
                  <c:v>0</c:v>
                </c:pt>
                <c:pt idx="1">
                  <c:v>5.362544</c:v>
                </c:pt>
              </c:numCache>
            </c:numRef>
          </c:xVal>
          <c:yVal>
            <c:numRef>
              <c:f>Sheet1!$K$2:$K$3</c:f>
              <c:numCache>
                <c:formatCode>General</c:formatCode>
                <c:ptCount val="2"/>
                <c:pt idx="0">
                  <c:v>0</c:v>
                </c:pt>
                <c:pt idx="1">
                  <c:v>1</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Sheet1!$D$2:$D$3</c:f>
              <c:numCache>
                <c:formatCode>General</c:formatCode>
                <c:ptCount val="2"/>
                <c:pt idx="0">
                  <c:v>0</c:v>
                </c:pt>
                <c:pt idx="1">
                  <c:v>7.769249</c:v>
                </c:pt>
              </c:numCache>
            </c:numRef>
          </c:xVal>
          <c:yVal>
            <c:numRef>
              <c:f>Sheet1!$L$2:$L$3</c:f>
              <c:numCache>
                <c:formatCode>General</c:formatCode>
                <c:ptCount val="2"/>
                <c:pt idx="0">
                  <c:v>0</c:v>
                </c:pt>
                <c:pt idx="1">
                  <c:v>1</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Sheet1!$E$2:$E$3</c:f>
              <c:numCache>
                <c:formatCode>General</c:formatCode>
                <c:ptCount val="2"/>
                <c:pt idx="0">
                  <c:v>0</c:v>
                </c:pt>
                <c:pt idx="1">
                  <c:v>7.839413</c:v>
                </c:pt>
              </c:numCache>
            </c:numRef>
          </c:xVal>
          <c:yVal>
            <c:numRef>
              <c:f>Sheet1!$M$2:$M$3</c:f>
              <c:numCache>
                <c:formatCode>General</c:formatCode>
                <c:ptCount val="2"/>
                <c:pt idx="0">
                  <c:v>0</c:v>
                </c:pt>
                <c:pt idx="1">
                  <c:v>1</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Sheet1!$F$2:$F$3</c:f>
              <c:numCache>
                <c:formatCode>General</c:formatCode>
                <c:ptCount val="2"/>
                <c:pt idx="0">
                  <c:v>0</c:v>
                </c:pt>
                <c:pt idx="1">
                  <c:v>6.952525</c:v>
                </c:pt>
              </c:numCache>
            </c:numRef>
          </c:xVal>
          <c:yVal>
            <c:numRef>
              <c:f>Sheet1!$N$2:$N$3</c:f>
              <c:numCache>
                <c:formatCode>General</c:formatCode>
                <c:ptCount val="2"/>
                <c:pt idx="0">
                  <c:v>0</c:v>
                </c:pt>
                <c:pt idx="1">
                  <c:v>1</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Sheet1!$G$2:$G$3</c:f>
              <c:numCache>
                <c:formatCode>General</c:formatCode>
                <c:ptCount val="2"/>
                <c:pt idx="0">
                  <c:v>0</c:v>
                </c:pt>
                <c:pt idx="1">
                  <c:v>7.765166</c:v>
                </c:pt>
              </c:numCache>
            </c:numRef>
          </c:xVal>
          <c:yVal>
            <c:numRef>
              <c:f>Sheet1!$O$2:$O$3</c:f>
              <c:numCache>
                <c:formatCode>General</c:formatCode>
                <c:ptCount val="2"/>
                <c:pt idx="0">
                  <c:v>0</c:v>
                </c:pt>
                <c:pt idx="1">
                  <c:v>1</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Sheet1!$H$2:$H$3</c:f>
              <c:numCache>
                <c:formatCode>General</c:formatCode>
                <c:ptCount val="2"/>
                <c:pt idx="0">
                  <c:v>0</c:v>
                </c:pt>
                <c:pt idx="1">
                  <c:v>7.915905</c:v>
                </c:pt>
              </c:numCache>
            </c:numRef>
          </c:xVal>
          <c:yVal>
            <c:numRef>
              <c:f>Sheet1!$P$2:$P$3</c:f>
              <c:numCache>
                <c:formatCode>General</c:formatCode>
                <c:ptCount val="2"/>
                <c:pt idx="0">
                  <c:v>0</c:v>
                </c:pt>
                <c:pt idx="1">
                  <c:v>1</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Sheet1!$I$2:$I$3</c:f>
              <c:numCache>
                <c:formatCode>General</c:formatCode>
                <c:ptCount val="2"/>
                <c:pt idx="0">
                  <c:v>0</c:v>
                </c:pt>
                <c:pt idx="1">
                  <c:v>3.867064</c:v>
                </c:pt>
              </c:numCache>
            </c:numRef>
          </c:xVal>
          <c:yVal>
            <c:numRef>
              <c:f>Sheet1!$Q$2:$Q$3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X正偏心静震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5.024242</c:v>
                </c:pt>
              </c:numCache>
            </c:numRef>
          </c:xVal>
          <c:yVal>
            <c:numRef>
              <c:f>Sheet1!$F$2:$F$3</c:f>
              <c:numCache>
                <c:formatCode>General</c:formatCode>
                <c:ptCount val="2"/>
                <c:pt idx="0">
                  <c:v>0</c:v>
                </c:pt>
                <c:pt idx="1">
                  <c:v>1</c:v>
                </c:pt>
              </c:numCache>
            </c:numRef>
          </c:yVal>
          <c:smooth val="0"/>
        </c:ser>
        <c:ser>
          <c:idx val="1"/>
          <c:order val="1"/>
          <c:tx>
            <c:strRef>
              <c:f>Sheet1!$G$1</c:f>
              <c:strCache>
                <c:ptCount val="1"/>
                <c:pt idx="0">
                  <c:v>X负偏心静震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5.095002</c:v>
                </c:pt>
              </c:numCache>
            </c:numRef>
          </c:xVal>
          <c:yVal>
            <c:numRef>
              <c:f>Sheet1!$G$2:$G$3</c:f>
              <c:numCache>
                <c:formatCode>General</c:formatCode>
                <c:ptCount val="2"/>
                <c:pt idx="0">
                  <c:v>0</c:v>
                </c:pt>
                <c:pt idx="1">
                  <c:v>1</c:v>
                </c:pt>
              </c:numCache>
            </c:numRef>
          </c:yVal>
          <c:smooth val="0"/>
        </c:ser>
        <c:ser>
          <c:idx val="2"/>
          <c:order val="2"/>
          <c:tx>
            <c:strRef>
              <c:f>Sheet1!$H$1</c:f>
              <c:strCache>
                <c:ptCount val="1"/>
                <c:pt idx="0">
                  <c:v>Y正偏心静震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0</c:v>
                </c:pt>
                <c:pt idx="1">
                  <c:v>7.686153</c:v>
                </c:pt>
              </c:numCache>
            </c:numRef>
          </c:xVal>
          <c:yVal>
            <c:numRef>
              <c:f>Sheet1!$H$2:$H$3</c:f>
              <c:numCache>
                <c:formatCode>General</c:formatCode>
                <c:ptCount val="2"/>
                <c:pt idx="0">
                  <c:v>0</c:v>
                </c:pt>
                <c:pt idx="1">
                  <c:v>1</c:v>
                </c:pt>
              </c:numCache>
            </c:numRef>
          </c:yVal>
          <c:smooth val="0"/>
        </c:ser>
        <c:ser>
          <c:idx val="3"/>
          <c:order val="3"/>
          <c:tx>
            <c:strRef>
              <c:f>Sheet1!$I$1</c:f>
              <c:strCache>
                <c:ptCount val="1"/>
                <c:pt idx="0">
                  <c:v>Y负偏心静震</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Sheet1!$E$2:$E$3</c:f>
              <c:numCache>
                <c:formatCode>General</c:formatCode>
                <c:ptCount val="2"/>
                <c:pt idx="0">
                  <c:v>0</c:v>
                </c:pt>
                <c:pt idx="1">
                  <c:v>7.686128</c:v>
                </c:pt>
              </c:numCache>
            </c:numRef>
          </c:xVal>
          <c:yVal>
            <c:numRef>
              <c:f>Sheet1!$I$2:$I$3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Sheet1!$B$2:$B$3</c:f>
              <c:numCache>
                <c:formatCode>General</c:formatCode>
                <c:ptCount val="2"/>
                <c:pt idx="0">
                  <c:v>0</c:v>
                </c:pt>
                <c:pt idx="1">
                  <c:v>6.448639</c:v>
                </c:pt>
              </c:numCache>
            </c:numRef>
          </c:xVal>
          <c:yVal>
            <c:numRef>
              <c:f>Sheet1!$J$2:$J$3</c:f>
              <c:numCache>
                <c:formatCode>General</c:formatCode>
                <c:ptCount val="2"/>
                <c:pt idx="0">
                  <c:v>0</c:v>
                </c:pt>
                <c:pt idx="1">
                  <c:v>1</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Sheet1!$C$2:$C$3</c:f>
              <c:numCache>
                <c:formatCode>General</c:formatCode>
                <c:ptCount val="2"/>
                <c:pt idx="0">
                  <c:v>0</c:v>
                </c:pt>
                <c:pt idx="1">
                  <c:v>5.362544</c:v>
                </c:pt>
              </c:numCache>
            </c:numRef>
          </c:xVal>
          <c:yVal>
            <c:numRef>
              <c:f>Sheet1!$K$2:$K$3</c:f>
              <c:numCache>
                <c:formatCode>General</c:formatCode>
                <c:ptCount val="2"/>
                <c:pt idx="0">
                  <c:v>0</c:v>
                </c:pt>
                <c:pt idx="1">
                  <c:v>1</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Sheet1!$D$2:$D$3</c:f>
              <c:numCache>
                <c:formatCode>General</c:formatCode>
                <c:ptCount val="2"/>
                <c:pt idx="0">
                  <c:v>0</c:v>
                </c:pt>
                <c:pt idx="1">
                  <c:v>7.769249</c:v>
                </c:pt>
              </c:numCache>
            </c:numRef>
          </c:xVal>
          <c:yVal>
            <c:numRef>
              <c:f>Sheet1!$L$2:$L$3</c:f>
              <c:numCache>
                <c:formatCode>General</c:formatCode>
                <c:ptCount val="2"/>
                <c:pt idx="0">
                  <c:v>0</c:v>
                </c:pt>
                <c:pt idx="1">
                  <c:v>1</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Sheet1!$E$2:$E$3</c:f>
              <c:numCache>
                <c:formatCode>General</c:formatCode>
                <c:ptCount val="2"/>
                <c:pt idx="0">
                  <c:v>0</c:v>
                </c:pt>
                <c:pt idx="1">
                  <c:v>7.839413</c:v>
                </c:pt>
              </c:numCache>
            </c:numRef>
          </c:xVal>
          <c:yVal>
            <c:numRef>
              <c:f>Sheet1!$M$2:$M$3</c:f>
              <c:numCache>
                <c:formatCode>General</c:formatCode>
                <c:ptCount val="2"/>
                <c:pt idx="0">
                  <c:v>0</c:v>
                </c:pt>
                <c:pt idx="1">
                  <c:v>1</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Sheet1!$F$2:$F$3</c:f>
              <c:numCache>
                <c:formatCode>General</c:formatCode>
                <c:ptCount val="2"/>
                <c:pt idx="0">
                  <c:v>0</c:v>
                </c:pt>
                <c:pt idx="1">
                  <c:v>6.952525</c:v>
                </c:pt>
              </c:numCache>
            </c:numRef>
          </c:xVal>
          <c:yVal>
            <c:numRef>
              <c:f>Sheet1!$N$2:$N$3</c:f>
              <c:numCache>
                <c:formatCode>General</c:formatCode>
                <c:ptCount val="2"/>
                <c:pt idx="0">
                  <c:v>0</c:v>
                </c:pt>
                <c:pt idx="1">
                  <c:v>1</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Sheet1!$G$2:$G$3</c:f>
              <c:numCache>
                <c:formatCode>General</c:formatCode>
                <c:ptCount val="2"/>
                <c:pt idx="0">
                  <c:v>0</c:v>
                </c:pt>
                <c:pt idx="1">
                  <c:v>7.765167</c:v>
                </c:pt>
              </c:numCache>
            </c:numRef>
          </c:xVal>
          <c:yVal>
            <c:numRef>
              <c:f>Sheet1!$O$2:$O$3</c:f>
              <c:numCache>
                <c:formatCode>General</c:formatCode>
                <c:ptCount val="2"/>
                <c:pt idx="0">
                  <c:v>0</c:v>
                </c:pt>
                <c:pt idx="1">
                  <c:v>1</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Sheet1!$H$2:$H$3</c:f>
              <c:numCache>
                <c:formatCode>General</c:formatCode>
                <c:ptCount val="2"/>
                <c:pt idx="0">
                  <c:v>0</c:v>
                </c:pt>
                <c:pt idx="1">
                  <c:v>7.915905</c:v>
                </c:pt>
              </c:numCache>
            </c:numRef>
          </c:xVal>
          <c:yVal>
            <c:numRef>
              <c:f>Sheet1!$P$2:$P$3</c:f>
              <c:numCache>
                <c:formatCode>General</c:formatCode>
                <c:ptCount val="2"/>
                <c:pt idx="0">
                  <c:v>0</c:v>
                </c:pt>
                <c:pt idx="1">
                  <c:v>1</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Sheet1!$I$2:$I$3</c:f>
              <c:numCache>
                <c:formatCode>General</c:formatCode>
                <c:ptCount val="2"/>
                <c:pt idx="0">
                  <c:v>0</c:v>
                </c:pt>
                <c:pt idx="1">
                  <c:v>3.867063</c:v>
                </c:pt>
              </c:numCache>
            </c:numRef>
          </c:xVal>
          <c:yVal>
            <c:numRef>
              <c:f>Sheet1!$Q$2:$Q$3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Sheet1!$B$2:$B$3</c:f>
              <c:numCache>
                <c:formatCode>General</c:formatCode>
                <c:ptCount val="2"/>
                <c:pt idx="0">
                  <c:v>0</c:v>
                </c:pt>
                <c:pt idx="1">
                  <c:v>5.024242</c:v>
                </c:pt>
              </c:numCache>
            </c:numRef>
          </c:xVal>
          <c:yVal>
            <c:numRef>
              <c:f>Sheet1!$J$2:$J$3</c:f>
              <c:numCache>
                <c:formatCode>General</c:formatCode>
                <c:ptCount val="2"/>
                <c:pt idx="0">
                  <c:v>0</c:v>
                </c:pt>
                <c:pt idx="1">
                  <c:v>1</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Sheet1!$C$2:$C$3</c:f>
              <c:numCache>
                <c:formatCode>General</c:formatCode>
                <c:ptCount val="2"/>
                <c:pt idx="0">
                  <c:v>0</c:v>
                </c:pt>
                <c:pt idx="1">
                  <c:v>5.095002</c:v>
                </c:pt>
              </c:numCache>
            </c:numRef>
          </c:xVal>
          <c:yVal>
            <c:numRef>
              <c:f>Sheet1!$K$2:$K$3</c:f>
              <c:numCache>
                <c:formatCode>General</c:formatCode>
                <c:ptCount val="2"/>
                <c:pt idx="0">
                  <c:v>0</c:v>
                </c:pt>
                <c:pt idx="1">
                  <c:v>1</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Sheet1!$D$2:$D$3</c:f>
              <c:numCache>
                <c:formatCode>General</c:formatCode>
                <c:ptCount val="2"/>
                <c:pt idx="0">
                  <c:v>0</c:v>
                </c:pt>
                <c:pt idx="1">
                  <c:v>7.686154</c:v>
                </c:pt>
              </c:numCache>
            </c:numRef>
          </c:xVal>
          <c:yVal>
            <c:numRef>
              <c:f>Sheet1!$L$2:$L$3</c:f>
              <c:numCache>
                <c:formatCode>General</c:formatCode>
                <c:ptCount val="2"/>
                <c:pt idx="0">
                  <c:v>0</c:v>
                </c:pt>
                <c:pt idx="1">
                  <c:v>1</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Sheet1!$E$2:$E$3</c:f>
              <c:numCache>
                <c:formatCode>General</c:formatCode>
                <c:ptCount val="2"/>
                <c:pt idx="0">
                  <c:v>0</c:v>
                </c:pt>
                <c:pt idx="1">
                  <c:v>7.686128</c:v>
                </c:pt>
              </c:numCache>
            </c:numRef>
          </c:xVal>
          <c:yVal>
            <c:numRef>
              <c:f>Sheet1!$M$2:$M$3</c:f>
              <c:numCache>
                <c:formatCode>General</c:formatCode>
                <c:ptCount val="2"/>
                <c:pt idx="0">
                  <c:v>0</c:v>
                </c:pt>
                <c:pt idx="1">
                  <c:v>1</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Sheet1!$F$2:$F$3</c:f>
              <c:numCache>
                <c:formatCode>General</c:formatCode>
                <c:ptCount val="2"/>
                <c:pt idx="0">
                  <c:v>0</c:v>
                </c:pt>
                <c:pt idx="1">
                  <c:v>5.438265</c:v>
                </c:pt>
              </c:numCache>
            </c:numRef>
          </c:xVal>
          <c:yVal>
            <c:numRef>
              <c:f>Sheet1!$N$2:$N$3</c:f>
              <c:numCache>
                <c:formatCode>General</c:formatCode>
                <c:ptCount val="2"/>
                <c:pt idx="0">
                  <c:v>0</c:v>
                </c:pt>
                <c:pt idx="1">
                  <c:v>1</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Sheet1!$G$2:$G$3</c:f>
              <c:numCache>
                <c:formatCode>General</c:formatCode>
                <c:ptCount val="2"/>
                <c:pt idx="0">
                  <c:v>0</c:v>
                </c:pt>
                <c:pt idx="1">
                  <c:v>7.686967</c:v>
                </c:pt>
              </c:numCache>
            </c:numRef>
          </c:xVal>
          <c:yVal>
            <c:numRef>
              <c:f>Sheet1!$O$2:$O$3</c:f>
              <c:numCache>
                <c:formatCode>General</c:formatCode>
                <c:ptCount val="2"/>
                <c:pt idx="0">
                  <c:v>0</c:v>
                </c:pt>
                <c:pt idx="1">
                  <c:v>1</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Sheet1!$H$2:$H$3</c:f>
              <c:numCache>
                <c:formatCode>General</c:formatCode>
                <c:ptCount val="2"/>
                <c:pt idx="0">
                  <c:v>0</c:v>
                </c:pt>
                <c:pt idx="1">
                  <c:v>7.406106</c:v>
                </c:pt>
              </c:numCache>
            </c:numRef>
          </c:xVal>
          <c:yVal>
            <c:numRef>
              <c:f>Sheet1!$P$2:$P$3</c:f>
              <c:numCache>
                <c:formatCode>General</c:formatCode>
                <c:ptCount val="2"/>
                <c:pt idx="0">
                  <c:v>0</c:v>
                </c:pt>
                <c:pt idx="1">
                  <c:v>1</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Sheet1!$I$2:$I$3</c:f>
              <c:numCache>
                <c:formatCode>General</c:formatCode>
                <c:ptCount val="2"/>
                <c:pt idx="0">
                  <c:v>0</c:v>
                </c:pt>
                <c:pt idx="1">
                  <c:v>3.867</c:v>
                </c:pt>
              </c:numCache>
            </c:numRef>
          </c:xVal>
          <c:yVal>
            <c:numRef>
              <c:f>Sheet1!$Q$2:$Q$3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限值线:1.5</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1.5</c:v>
                </c:pt>
                <c:pt idx="1">
                  <c:v>1.5</c:v>
                </c:pt>
              </c:numCache>
            </c:numRef>
          </c:xVal>
          <c:yVal>
            <c:numRef>
              <c:f>Sheet1!$D$2:$D$3</c:f>
              <c:numCache>
                <c:formatCode>General</c:formatCode>
                <c:ptCount val="2"/>
                <c:pt idx="0">
                  <c:v>0</c:v>
                </c:pt>
                <c:pt idx="1">
                  <c:v>1</c:v>
                </c:pt>
              </c:numCache>
            </c:numRef>
          </c:yVal>
          <c:smooth val="0"/>
        </c:ser>
        <c:ser>
          <c:idx val="1"/>
          <c:order val="1"/>
          <c:tx>
            <c:strRef>
              <c:f>Sheet1!$E$1</c:f>
              <c:strCache>
                <c:ptCount val="1"/>
                <c:pt idx="0">
                  <c:v>质量比</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2"/>
                <c:pt idx="0">
                  <c:v>1</c:v>
                </c:pt>
                <c:pt idx="1">
                  <c:v>2</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质量比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限值线:1.50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1.5</c:v>
                </c:pt>
                <c:pt idx="1">
                  <c:v>1.5</c:v>
                </c:pt>
              </c:numCache>
            </c:numRef>
          </c:xVal>
          <c:yVal>
            <c:numRef>
              <c:f>Sheet1!$H$2:$H$3</c:f>
              <c:numCache>
                <c:formatCode>General</c:formatCode>
                <c:ptCount val="2"/>
                <c:pt idx="0">
                  <c:v>0</c:v>
                </c:pt>
                <c:pt idx="1">
                  <c:v>1</c:v>
                </c:pt>
              </c:numCache>
            </c:numRef>
          </c:yVal>
          <c:smooth val="0"/>
        </c:ser>
        <c:ser>
          <c:idx val="1"/>
          <c:order val="1"/>
          <c:tx>
            <c:strRef>
              <c:f>Sheet1!$I$1</c:f>
              <c:strCache>
                <c:ptCount val="1"/>
                <c:pt idx="0">
                  <c:v>限值线:1.20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Sheet1!$C$2:$C$3</c:f>
              <c:numCache>
                <c:formatCode>General</c:formatCode>
                <c:ptCount val="2"/>
                <c:pt idx="0">
                  <c:v>1.2</c:v>
                </c:pt>
                <c:pt idx="1">
                  <c:v>1.2</c:v>
                </c:pt>
              </c:numCache>
            </c:numRef>
          </c:xVal>
          <c:yVal>
            <c:numRef>
              <c:f>Sheet1!$I$2:$I$3</c:f>
              <c:numCache>
                <c:formatCode>General</c:formatCode>
                <c:ptCount val="2"/>
                <c:pt idx="0">
                  <c:v>0</c:v>
                </c:pt>
                <c:pt idx="1">
                  <c:v>1</c:v>
                </c:pt>
              </c:numCache>
            </c:numRef>
          </c:yVal>
          <c:smooth val="0"/>
        </c:ser>
        <c:ser>
          <c:idx val="2"/>
          <c:order val="2"/>
          <c:tx>
            <c:strRef>
              <c:f>Sheet1!$J$1</c:f>
              <c:strCache>
                <c:ptCount val="1"/>
                <c:pt idx="0">
                  <c:v>X正偏心静震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Sheet1!$D$2:$D$3</c:f>
              <c:numCache>
                <c:formatCode>General</c:formatCode>
                <c:ptCount val="2"/>
                <c:pt idx="0">
                  <c:v>0</c:v>
                </c:pt>
                <c:pt idx="1">
                  <c:v>1.283505</c:v>
                </c:pt>
              </c:numCache>
            </c:numRef>
          </c:xVal>
          <c:yVal>
            <c:numRef>
              <c:f>Sheet1!$J$2:$J$3</c:f>
              <c:numCache>
                <c:formatCode>General</c:formatCode>
                <c:ptCount val="2"/>
                <c:pt idx="0">
                  <c:v>0</c:v>
                </c:pt>
                <c:pt idx="1">
                  <c:v>1</c:v>
                </c:pt>
              </c:numCache>
            </c:numRef>
          </c:yVal>
          <c:smooth val="0"/>
        </c:ser>
        <c:ser>
          <c:idx val="3"/>
          <c:order val="3"/>
          <c:tx>
            <c:strRef>
              <c:f>Sheet1!$K$1</c:f>
              <c:strCache>
                <c:ptCount val="1"/>
                <c:pt idx="0">
                  <c:v>X负偏心静震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Sheet1!$E$2:$E$3</c:f>
              <c:numCache>
                <c:formatCode>General</c:formatCode>
                <c:ptCount val="2"/>
                <c:pt idx="0">
                  <c:v>0</c:v>
                </c:pt>
                <c:pt idx="1">
                  <c:v>1.052511</c:v>
                </c:pt>
              </c:numCache>
            </c:numRef>
          </c:xVal>
          <c:yVal>
            <c:numRef>
              <c:f>Sheet1!$K$2:$K$3</c:f>
              <c:numCache>
                <c:formatCode>General</c:formatCode>
                <c:ptCount val="2"/>
                <c:pt idx="0">
                  <c:v>0</c:v>
                </c:pt>
                <c:pt idx="1">
                  <c:v>1</c:v>
                </c:pt>
              </c:numCache>
            </c:numRef>
          </c:yVal>
          <c:smooth val="0"/>
        </c:ser>
        <c:ser>
          <c:idx val="4"/>
          <c:order val="4"/>
          <c:tx>
            <c:strRef>
              <c:f>Sheet1!$L$1</c:f>
              <c:strCache>
                <c:ptCount val="1"/>
                <c:pt idx="0">
                  <c:v>Y正偏心静震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Sheet1!$F$2:$F$3</c:f>
              <c:numCache>
                <c:formatCode>General</c:formatCode>
                <c:ptCount val="2"/>
                <c:pt idx="0">
                  <c:v>0</c:v>
                </c:pt>
                <c:pt idx="1">
                  <c:v>1.010811</c:v>
                </c:pt>
              </c:numCache>
            </c:numRef>
          </c:xVal>
          <c:yVal>
            <c:numRef>
              <c:f>Sheet1!$L$2:$L$3</c:f>
              <c:numCache>
                <c:formatCode>General</c:formatCode>
                <c:ptCount val="2"/>
                <c:pt idx="0">
                  <c:v>0</c:v>
                </c:pt>
                <c:pt idx="1">
                  <c:v>1</c:v>
                </c:pt>
              </c:numCache>
            </c:numRef>
          </c:yVal>
          <c:smooth val="0"/>
        </c:ser>
        <c:ser>
          <c:idx val="5"/>
          <c:order val="5"/>
          <c:tx>
            <c:strRef>
              <c:f>Sheet1!$M$1</c:f>
              <c:strCache>
                <c:ptCount val="1"/>
                <c:pt idx="0">
                  <c:v>Y负偏心静震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Sheet1!$G$2:$G$3</c:f>
              <c:numCache>
                <c:formatCode>General</c:formatCode>
                <c:ptCount val="2"/>
                <c:pt idx="0">
                  <c:v>0</c:v>
                </c:pt>
                <c:pt idx="1">
                  <c:v>1.019943</c:v>
                </c:pt>
              </c:numCache>
            </c:numRef>
          </c:xVal>
          <c:yVal>
            <c:numRef>
              <c:f>Sheet1!$M$2:$M$3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限值线:1.50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1.5</c:v>
                </c:pt>
                <c:pt idx="1">
                  <c:v>1.5</c:v>
                </c:pt>
              </c:numCache>
            </c:numRef>
          </c:xVal>
          <c:yVal>
            <c:numRef>
              <c:f>Sheet1!$H$2:$H$3</c:f>
              <c:numCache>
                <c:formatCode>General</c:formatCode>
                <c:ptCount val="2"/>
                <c:pt idx="0">
                  <c:v>0</c:v>
                </c:pt>
                <c:pt idx="1">
                  <c:v>1</c:v>
                </c:pt>
              </c:numCache>
            </c:numRef>
          </c:yVal>
          <c:smooth val="0"/>
        </c:ser>
        <c:ser>
          <c:idx val="1"/>
          <c:order val="1"/>
          <c:tx>
            <c:strRef>
              <c:f>Sheet1!$I$1</c:f>
              <c:strCache>
                <c:ptCount val="1"/>
                <c:pt idx="0">
                  <c:v>限值线:1.20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Sheet1!$C$2:$C$3</c:f>
              <c:numCache>
                <c:formatCode>General</c:formatCode>
                <c:ptCount val="2"/>
                <c:pt idx="0">
                  <c:v>1.2</c:v>
                </c:pt>
                <c:pt idx="1">
                  <c:v>1.2</c:v>
                </c:pt>
              </c:numCache>
            </c:numRef>
          </c:xVal>
          <c:yVal>
            <c:numRef>
              <c:f>Sheet1!$I$2:$I$3</c:f>
              <c:numCache>
                <c:formatCode>General</c:formatCode>
                <c:ptCount val="2"/>
                <c:pt idx="0">
                  <c:v>0</c:v>
                </c:pt>
                <c:pt idx="1">
                  <c:v>1</c:v>
                </c:pt>
              </c:numCache>
            </c:numRef>
          </c:yVal>
          <c:smooth val="0"/>
        </c:ser>
        <c:ser>
          <c:idx val="2"/>
          <c:order val="2"/>
          <c:tx>
            <c:strRef>
              <c:f>Sheet1!$J$1</c:f>
              <c:strCache>
                <c:ptCount val="1"/>
                <c:pt idx="0">
                  <c:v>X正偏心静震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Sheet1!$D$2:$D$3</c:f>
              <c:numCache>
                <c:formatCode>General</c:formatCode>
                <c:ptCount val="2"/>
                <c:pt idx="0">
                  <c:v>0</c:v>
                </c:pt>
                <c:pt idx="1">
                  <c:v>1.283505</c:v>
                </c:pt>
              </c:numCache>
            </c:numRef>
          </c:xVal>
          <c:yVal>
            <c:numRef>
              <c:f>Sheet1!$J$2:$J$3</c:f>
              <c:numCache>
                <c:formatCode>General</c:formatCode>
                <c:ptCount val="2"/>
                <c:pt idx="0">
                  <c:v>0</c:v>
                </c:pt>
                <c:pt idx="1">
                  <c:v>1</c:v>
                </c:pt>
              </c:numCache>
            </c:numRef>
          </c:yVal>
          <c:smooth val="0"/>
        </c:ser>
        <c:ser>
          <c:idx val="3"/>
          <c:order val="3"/>
          <c:tx>
            <c:strRef>
              <c:f>Sheet1!$K$1</c:f>
              <c:strCache>
                <c:ptCount val="1"/>
                <c:pt idx="0">
                  <c:v>X负偏心静震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Sheet1!$E$2:$E$3</c:f>
              <c:numCache>
                <c:formatCode>General</c:formatCode>
                <c:ptCount val="2"/>
                <c:pt idx="0">
                  <c:v>0</c:v>
                </c:pt>
                <c:pt idx="1">
                  <c:v>1.052511</c:v>
                </c:pt>
              </c:numCache>
            </c:numRef>
          </c:xVal>
          <c:yVal>
            <c:numRef>
              <c:f>Sheet1!$K$2:$K$3</c:f>
              <c:numCache>
                <c:formatCode>General</c:formatCode>
                <c:ptCount val="2"/>
                <c:pt idx="0">
                  <c:v>0</c:v>
                </c:pt>
                <c:pt idx="1">
                  <c:v>1</c:v>
                </c:pt>
              </c:numCache>
            </c:numRef>
          </c:yVal>
          <c:smooth val="0"/>
        </c:ser>
        <c:ser>
          <c:idx val="4"/>
          <c:order val="4"/>
          <c:tx>
            <c:strRef>
              <c:f>Sheet1!$L$1</c:f>
              <c:strCache>
                <c:ptCount val="1"/>
                <c:pt idx="0">
                  <c:v>Y正偏心静震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Sheet1!$F$2:$F$3</c:f>
              <c:numCache>
                <c:formatCode>General</c:formatCode>
                <c:ptCount val="2"/>
                <c:pt idx="0">
                  <c:v>0</c:v>
                </c:pt>
                <c:pt idx="1">
                  <c:v>1.010811</c:v>
                </c:pt>
              </c:numCache>
            </c:numRef>
          </c:xVal>
          <c:yVal>
            <c:numRef>
              <c:f>Sheet1!$L$2:$L$3</c:f>
              <c:numCache>
                <c:formatCode>General</c:formatCode>
                <c:ptCount val="2"/>
                <c:pt idx="0">
                  <c:v>0</c:v>
                </c:pt>
                <c:pt idx="1">
                  <c:v>1</c:v>
                </c:pt>
              </c:numCache>
            </c:numRef>
          </c:yVal>
          <c:smooth val="0"/>
        </c:ser>
        <c:ser>
          <c:idx val="5"/>
          <c:order val="5"/>
          <c:tx>
            <c:strRef>
              <c:f>Sheet1!$M$1</c:f>
              <c:strCache>
                <c:ptCount val="1"/>
                <c:pt idx="0">
                  <c:v>Y负偏心静震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Sheet1!$G$2:$G$3</c:f>
              <c:numCache>
                <c:formatCode>General</c:formatCode>
                <c:ptCount val="2"/>
                <c:pt idx="0">
                  <c:v>0</c:v>
                </c:pt>
                <c:pt idx="1">
                  <c:v>1.019943</c:v>
                </c:pt>
              </c:numCache>
            </c:numRef>
          </c:xVal>
          <c:yVal>
            <c:numRef>
              <c:f>Sheet1!$M$2:$M$3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层间位移比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Sheet1!$G$1</c:f>
              <c:strCache>
                <c:ptCount val="1"/>
                <c:pt idx="0">
                  <c:v>限值线:1/550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0.001818</c:v>
                </c:pt>
                <c:pt idx="1">
                  <c:v>0.001818</c:v>
                </c:pt>
              </c:numCache>
            </c:numRef>
          </c:xVal>
          <c:yVal>
            <c:numRef>
              <c:f>Sheet1!$G$2:$G$3</c:f>
              <c:numCache>
                <c:formatCode>General</c:formatCode>
                <c:ptCount val="2"/>
                <c:pt idx="0">
                  <c:v>0</c:v>
                </c:pt>
                <c:pt idx="1">
                  <c:v>1</c:v>
                </c:pt>
              </c:numCache>
            </c:numRef>
          </c:yVal>
          <c:smooth val="0"/>
        </c:ser>
        <c:ser>
          <c:idx val="1"/>
          <c:order val="1"/>
          <c:tx>
            <c:strRef>
              <c:f>Sheet1!$H$1</c:f>
              <c:strCache>
                <c:ptCount val="1"/>
                <c:pt idx="0">
                  <c:v>X向地震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0.000915</c:v>
                </c:pt>
              </c:numCache>
            </c:numRef>
          </c:xVal>
          <c:yVal>
            <c:numRef>
              <c:f>Sheet1!$H$2:$H$3</c:f>
              <c:numCache>
                <c:formatCode>General</c:formatCode>
                <c:ptCount val="2"/>
                <c:pt idx="0">
                  <c:v>0</c:v>
                </c:pt>
                <c:pt idx="1">
                  <c:v>1</c:v>
                </c:pt>
              </c:numCache>
            </c:numRef>
          </c:yVal>
          <c:smooth val="0"/>
        </c:ser>
        <c:ser>
          <c:idx val="2"/>
          <c:order val="2"/>
          <c:tx>
            <c:strRef>
              <c:f>Sheet1!$I$1</c:f>
              <c:strCache>
                <c:ptCount val="1"/>
                <c:pt idx="0">
                  <c:v>Y向地震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0</c:v>
                </c:pt>
                <c:pt idx="1">
                  <c:v>0.001022</c:v>
                </c:pt>
              </c:numCache>
            </c:numRef>
          </c:xVal>
          <c:yVal>
            <c:numRef>
              <c:f>Sheet1!$I$2:$I$3</c:f>
              <c:numCache>
                <c:formatCode>General</c:formatCode>
                <c:ptCount val="2"/>
                <c:pt idx="0">
                  <c:v>0</c:v>
                </c:pt>
                <c:pt idx="1">
                  <c:v>1</c:v>
                </c:pt>
              </c:numCache>
            </c:numRef>
          </c:yVal>
          <c:smooth val="0"/>
        </c:ser>
        <c:ser>
          <c:idx val="3"/>
          <c:order val="3"/>
          <c:tx>
            <c:strRef>
              <c:f>Sheet1!$J$1</c:f>
              <c:strCache>
                <c:ptCount val="1"/>
                <c:pt idx="0">
                  <c:v>X向风</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Sheet1!$E$2:$E$3</c:f>
              <c:numCache>
                <c:formatCode>General</c:formatCode>
                <c:ptCount val="2"/>
                <c:pt idx="0">
                  <c:v>0</c:v>
                </c:pt>
                <c:pt idx="1">
                  <c:v>0.001042</c:v>
                </c:pt>
              </c:numCache>
            </c:numRef>
          </c:xVal>
          <c:yVal>
            <c:numRef>
              <c:f>Sheet1!$J$2:$J$3</c:f>
              <c:numCache>
                <c:formatCode>General</c:formatCode>
                <c:ptCount val="2"/>
                <c:pt idx="0">
                  <c:v>0</c:v>
                </c:pt>
                <c:pt idx="1">
                  <c:v>1</c:v>
                </c:pt>
              </c:numCache>
            </c:numRef>
          </c:yVal>
          <c:smooth val="0"/>
        </c:ser>
        <c:ser>
          <c:idx val="4"/>
          <c:order val="4"/>
          <c:tx>
            <c:strRef>
              <c:f>Sheet1!$K$1</c:f>
              <c:strCache>
                <c:ptCount val="1"/>
                <c:pt idx="0">
                  <c:v>Y向风</c:v>
                </c:pt>
              </c:strCache>
            </c:strRef>
          </c:tx>
          <c:spPr>
            <a:ln w="19050" cap="rnd" cmpd="sng" algn="ctr">
              <a:solidFill>
                <a:schemeClr val="accent5"/>
              </a:solidFill>
              <a:prstDash val="solid"/>
              <a:round/>
            </a:ln>
          </c:spPr>
          <c:marker>
            <c:spPr>
              <a:ln w="6350" cap="flat" cmpd="sng" algn="ctr">
                <a:solidFill>
                  <a:schemeClr val="accent5"/>
                </a:solidFill>
                <a:prstDash val="solid"/>
                <a:round/>
              </a:ln>
            </c:spPr>
          </c:marker>
          <c:dLbls>
            <c:delete val="1"/>
          </c:dLbls>
          <c:xVal>
            <c:numRef>
              <c:f>Sheet1!$F$2:$F$3</c:f>
              <c:numCache>
                <c:formatCode>General</c:formatCode>
                <c:ptCount val="2"/>
                <c:pt idx="0">
                  <c:v>0</c:v>
                </c:pt>
                <c:pt idx="1">
                  <c:v>0.000509</c:v>
                </c:pt>
              </c:numCache>
            </c:numRef>
          </c:xVal>
          <c:yVal>
            <c:numRef>
              <c:f>Sheet1!$K$2:$K$3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10.81</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5.14</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承载力(*100)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119.457993</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127.977005</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弹性剪力(*10)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0.9049</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0.4016</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强度系数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1.3</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1.3</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增大系数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0.005718</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0.005721</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0.007463</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0.007463</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X向二阶效应系数</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0.01262</c:v>
                </c:pt>
              </c:numCache>
            </c:numRef>
          </c:xVal>
          <c:yVal>
            <c:numRef>
              <c:f>Sheet1!$D$2:$D$2</c:f>
              <c:numCache>
                <c:formatCode>General</c:formatCode>
                <c:ptCount val="1"/>
                <c:pt idx="0">
                  <c:v>1</c:v>
                </c:pt>
              </c:numCache>
            </c:numRef>
          </c:yVal>
          <c:smooth val="0"/>
        </c:ser>
        <c:ser>
          <c:idx val="1"/>
          <c:order val="1"/>
          <c:tx>
            <c:strRef>
              <c:f>Sheet1!$E$1</c:f>
              <c:strCache>
                <c:ptCount val="1"/>
                <c:pt idx="0">
                  <c:v>Y向二阶效应系数</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0.016918</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X向风</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2.776414</c:v>
                </c:pt>
              </c:numCache>
            </c:numRef>
          </c:xVal>
          <c:yVal>
            <c:numRef>
              <c:f>Sheet1!$D$2:$D$3</c:f>
              <c:numCache>
                <c:formatCode>General</c:formatCode>
                <c:ptCount val="2"/>
                <c:pt idx="0">
                  <c:v>0</c:v>
                </c:pt>
                <c:pt idx="1">
                  <c:v>1</c:v>
                </c:pt>
              </c:numCache>
            </c:numRef>
          </c:yVal>
          <c:smooth val="0"/>
        </c:ser>
        <c:ser>
          <c:idx val="1"/>
          <c:order val="1"/>
          <c:tx>
            <c:strRef>
              <c:f>Sheet1!$E$1</c:f>
              <c:strCache>
                <c:ptCount val="1"/>
                <c:pt idx="0">
                  <c:v>Y向风</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1.030192</c:v>
                </c:pt>
              </c:numCache>
            </c:numRef>
          </c:xVal>
          <c:yVal>
            <c:numRef>
              <c:f>Sheet1!$E$2:$E$3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X向风</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2.110075</c:v>
                </c:pt>
              </c:numCache>
            </c:numRef>
          </c:xVal>
          <c:yVal>
            <c:numRef>
              <c:f>Sheet1!$D$2:$D$3</c:f>
              <c:numCache>
                <c:formatCode>General</c:formatCode>
                <c:ptCount val="2"/>
                <c:pt idx="0">
                  <c:v>0</c:v>
                </c:pt>
                <c:pt idx="1">
                  <c:v>1</c:v>
                </c:pt>
              </c:numCache>
            </c:numRef>
          </c:yVal>
          <c:smooth val="0"/>
        </c:ser>
        <c:ser>
          <c:idx val="1"/>
          <c:order val="1"/>
          <c:tx>
            <c:strRef>
              <c:f>Sheet1!$E$1</c:f>
              <c:strCache>
                <c:ptCount val="1"/>
                <c:pt idx="0">
                  <c:v>Y向风</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0.782946</c:v>
                </c:pt>
              </c:numCache>
            </c:numRef>
          </c:xVal>
          <c:yVal>
            <c:numRef>
              <c:f>Sheet1!$E$2:$E$3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弯矩(*10^3kN.m)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51.165951</c:v>
                </c:pt>
              </c:numCache>
            </c:numRef>
          </c:xVal>
          <c:yVal>
            <c:numRef>
              <c:f>Sheet1!$D$2:$D$2</c:f>
              <c:numCache>
                <c:formatCode>General</c:formatCode>
                <c:ptCount val="1"/>
                <c:pt idx="0">
                  <c:v>1</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34.251587</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刚度(*10^3kN/m)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1</c:v>
                </c:pt>
              </c:numCache>
            </c:numRef>
          </c:xVal>
          <c:yVal>
            <c:numRef>
              <c:f>Sheet1!$D$2:$D$2</c:f>
              <c:numCache>
                <c:formatCode>General</c:formatCode>
                <c:ptCount val="1"/>
                <c:pt idx="0">
                  <c:v>1</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1</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1</c:v>
                </c:pt>
              </c:numCache>
            </c:numRef>
          </c:xVal>
          <c:yVal>
            <c:numRef>
              <c:f>Sheet1!$D$2:$D$2</c:f>
              <c:numCache>
                <c:formatCode>General</c:formatCode>
                <c:ptCount val="1"/>
                <c:pt idx="0">
                  <c:v>1</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1</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35.70731</c:v>
                </c:pt>
              </c:numCache>
            </c:numRef>
          </c:xVal>
          <c:yVal>
            <c:numRef>
              <c:f>Sheet1!$D$2:$D$2</c:f>
              <c:numCache>
                <c:formatCode>General</c:formatCode>
                <c:ptCount val="1"/>
                <c:pt idx="0">
                  <c:v>1</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26.636461</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刚度(*10^3kN/m)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2</Words>
  <Characters>12</Characters>
  <Lines>1</Lines>
  <Paragraphs>1</Paragraphs>
  <TotalTime>0</TotalTime>
  <ScaleCrop>false</ScaleCrop>
  <LinksUpToDate>false</LinksUpToDate>
  <CharactersWithSpaces>13</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2015-03-16T03:08:00Z</dcterms:created>
  <dc:creator>Admin</dc:creator>
  <cp:lastModifiedBy>lenovo</cp:lastModifiedBy>
  <dcterms:modified xsi:type="dcterms:W3CDTF">2023-07-28T05:36:25Z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F58755B9F6D946E7ADE4CEB630B6811E</vt:lpwstr>
  </property>
</Properties>
</file>