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beforeLines="113" w:afterLines="113" w:line="113" w:lineRule="auto"/>
        <w:jc w:val="left"/>
      </w:pPr>
      <w:bookmarkStart w:id="33" w:name="_GoBack"/>
      <w:bookmarkEnd w:id="33"/>
    </w:p>
    <w:p>
      <w:pPr>
        <w:jc w:val="center"/>
      </w:pPr>
      <w:r>
        <w:rPr>
          <w:rFonts w:hint="eastAsia" w:ascii="黑体" w:eastAsia="黑体"/>
          <w:b w:val="0"/>
          <w:color w:val="000000"/>
          <w:sz w:val="96"/>
          <w:szCs w:val="96"/>
          <w:shd w:val="clear" w:color="auto" w:fill="FFFFFF"/>
        </w:rPr>
        <w:t>地基基础设计报告书</w:t>
      </w:r>
    </w:p>
    <w:p>
      <w:pPr>
        <w:jc w:val="center"/>
      </w:pPr>
    </w:p>
    <w:tbl>
      <w:tblPr>
        <w:tblStyle w:val="42"/>
        <w:tblW w:w="7257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28"/>
        <w:gridCol w:w="362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628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8"/>
                <w:szCs w:val="28"/>
                <w:shd w:val="clear" w:color="auto" w:fill="FFFFFF"/>
              </w:rPr>
              <w:t>项目编号: No.1</w:t>
            </w:r>
          </w:p>
        </w:tc>
        <w:tc>
          <w:tcPr>
            <w:tcW w:w="3628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8"/>
                <w:szCs w:val="28"/>
                <w:shd w:val="clear" w:color="auto" w:fill="FFFFFF"/>
              </w:rPr>
              <w:t>项目名称: XXX项目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28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8"/>
                <w:szCs w:val="28"/>
                <w:shd w:val="clear" w:color="auto" w:fill="FFFFFF"/>
              </w:rPr>
              <w:t>计算人: XXX设计师</w:t>
            </w:r>
          </w:p>
        </w:tc>
        <w:tc>
          <w:tcPr>
            <w:tcW w:w="3628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8"/>
                <w:szCs w:val="28"/>
                <w:shd w:val="clear" w:color="auto" w:fill="FFFFFF"/>
              </w:rPr>
              <w:t>专业负责人: XXX总工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28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8"/>
                <w:szCs w:val="28"/>
                <w:shd w:val="clear" w:color="auto" w:fill="FFFFFF"/>
              </w:rPr>
              <w:t>校核人: XXX设计师</w:t>
            </w:r>
          </w:p>
        </w:tc>
        <w:tc>
          <w:tcPr>
            <w:tcW w:w="3628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8"/>
                <w:szCs w:val="28"/>
                <w:shd w:val="clear" w:color="auto" w:fill="FFFFFF"/>
              </w:rPr>
              <w:t>日期: 2023-07-28</w:t>
            </w:r>
          </w:p>
        </w:tc>
      </w:tr>
    </w:tbl>
    <w:p>
      <w:pPr>
        <w:spacing w:beforeLines="113" w:afterLines="113" w:line="113" w:lineRule="auto"/>
        <w:jc w:val="center"/>
      </w:pPr>
    </w:p>
    <w:p>
      <w:r>
        <w:br w:type="page"/>
      </w:r>
    </w:p>
    <w:sdt>
      <w:sdtPr>
        <w:id w:val="1"/>
        <w:docPartObj>
          <w:docPartGallery w:val="Table of Contents"/>
          <w:docPartUnique/>
        </w:docPartObj>
      </w:sdtPr>
      <w:sdtContent>
        <w:p>
          <w:pPr>
            <w:pStyle w:val="53"/>
            <w:jc w:val="center"/>
          </w:pPr>
          <w:r>
            <w:rPr>
              <w:color w:val="000000"/>
              <w:lang w:val="zh-CN"/>
            </w:rPr>
            <w:t>目  录</w:t>
          </w:r>
        </w:p>
        <w:p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TOC \o "1-4" \h \z \u </w:instrText>
          </w:r>
          <w:r>
            <w:fldChar w:fldCharType="separate"/>
          </w:r>
          <w:r>
            <w:fldChar w:fldCharType="begin"/>
          </w:r>
          <w:r>
            <w:instrText xml:space="preserve"> HYPERLINK \l _Toc10768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1. 设计依据</w:t>
          </w:r>
          <w:r>
            <w:tab/>
          </w:r>
          <w:r>
            <w:fldChar w:fldCharType="begin"/>
          </w:r>
          <w:r>
            <w:instrText xml:space="preserve"> PAGEREF _Toc10768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_Toc13177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2. 计算软件信息</w:t>
          </w:r>
          <w:r>
            <w:tab/>
          </w:r>
          <w:r>
            <w:fldChar w:fldCharType="begin"/>
          </w:r>
          <w:r>
            <w:instrText xml:space="preserve"> PAGEREF _Toc13177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_Toc24671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3. 计算参数</w:t>
          </w:r>
          <w:r>
            <w:tab/>
          </w:r>
          <w:r>
            <w:fldChar w:fldCharType="begin"/>
          </w:r>
          <w:r>
            <w:instrText xml:space="preserve"> PAGEREF _Toc24671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_Toc9598 </w:instrText>
          </w:r>
          <w:r>
            <w:fldChar w:fldCharType="separate"/>
          </w:r>
          <w:r>
            <w:t>1总信息</w:t>
          </w:r>
          <w:r>
            <w:tab/>
          </w:r>
          <w:r>
            <w:fldChar w:fldCharType="begin"/>
          </w:r>
          <w:r>
            <w:instrText xml:space="preserve"> PAGEREF _Toc9598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_Toc15649 </w:instrText>
          </w:r>
          <w:r>
            <w:fldChar w:fldCharType="separate"/>
          </w:r>
          <w:r>
            <w:t>2荷载信息</w:t>
          </w:r>
          <w:r>
            <w:tab/>
          </w:r>
          <w:r>
            <w:fldChar w:fldCharType="begin"/>
          </w:r>
          <w:r>
            <w:instrText xml:space="preserve"> PAGEREF _Toc15649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_Toc8678 </w:instrText>
          </w:r>
          <w:r>
            <w:fldChar w:fldCharType="separate"/>
          </w:r>
          <w:r>
            <w:t>3地基承载力参数</w:t>
          </w:r>
          <w:r>
            <w:tab/>
          </w:r>
          <w:r>
            <w:fldChar w:fldCharType="begin"/>
          </w:r>
          <w:r>
            <w:instrText xml:space="preserve"> PAGEREF _Toc8678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_Toc3707 </w:instrText>
          </w:r>
          <w:r>
            <w:fldChar w:fldCharType="separate"/>
          </w:r>
          <w:r>
            <w:t>4承台自动布置参数</w:t>
          </w:r>
          <w:r>
            <w:tab/>
          </w:r>
          <w:r>
            <w:fldChar w:fldCharType="begin"/>
          </w:r>
          <w:r>
            <w:instrText xml:space="preserve"> PAGEREF _Toc3707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_Toc24129 </w:instrText>
          </w:r>
          <w:r>
            <w:fldChar w:fldCharType="separate"/>
          </w:r>
          <w:r>
            <w:t>5沉降参数</w:t>
          </w:r>
          <w:r>
            <w:tab/>
          </w:r>
          <w:r>
            <w:fldChar w:fldCharType="begin"/>
          </w:r>
          <w:r>
            <w:instrText xml:space="preserve"> PAGEREF _Toc24129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_Toc15314 </w:instrText>
          </w:r>
          <w:r>
            <w:fldChar w:fldCharType="separate"/>
          </w:r>
          <w:r>
            <w:t>6计算设计参数</w:t>
          </w:r>
          <w:r>
            <w:tab/>
          </w:r>
          <w:r>
            <w:fldChar w:fldCharType="begin"/>
          </w:r>
          <w:r>
            <w:instrText xml:space="preserve"> PAGEREF _Toc15314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_Toc21543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4. 模型概况</w:t>
          </w:r>
          <w:r>
            <w:tab/>
          </w:r>
          <w:r>
            <w:fldChar w:fldCharType="begin"/>
          </w:r>
          <w:r>
            <w:instrText xml:space="preserve"> PAGEREF _Toc21543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_Toc28923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5. 工况和组合</w:t>
          </w:r>
          <w:r>
            <w:tab/>
          </w:r>
          <w:r>
            <w:fldChar w:fldCharType="begin"/>
          </w:r>
          <w:r>
            <w:instrText xml:space="preserve"> PAGEREF _Toc28923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_Toc15926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1. 工况信息</w:t>
          </w:r>
          <w:r>
            <w:tab/>
          </w:r>
          <w:r>
            <w:fldChar w:fldCharType="begin"/>
          </w:r>
          <w:r>
            <w:instrText xml:space="preserve"> PAGEREF _Toc15926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_Toc11220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2. 构件内力基本组合信息</w:t>
          </w:r>
          <w:r>
            <w:tab/>
          </w:r>
          <w:r>
            <w:fldChar w:fldCharType="begin"/>
          </w:r>
          <w:r>
            <w:instrText xml:space="preserve"> PAGEREF _Toc11220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_Toc25019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6. 材料</w:t>
          </w:r>
          <w:r>
            <w:tab/>
          </w:r>
          <w:r>
            <w:fldChar w:fldCharType="begin"/>
          </w:r>
          <w:r>
            <w:instrText xml:space="preserve"> PAGEREF _Toc25019 \h 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_Toc1974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7. 桩基承载力验算</w:t>
          </w:r>
          <w:r>
            <w:tab/>
          </w:r>
          <w:r>
            <w:fldChar w:fldCharType="begin"/>
          </w:r>
          <w:r>
            <w:instrText xml:space="preserve"> PAGEREF _Toc1974 \h 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_Toc13030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1. 承台桩承载力结果</w:t>
          </w:r>
          <w:r>
            <w:tab/>
          </w:r>
          <w:r>
            <w:fldChar w:fldCharType="begin"/>
          </w:r>
          <w:r>
            <w:instrText xml:space="preserve"> PAGEREF _Toc13030 \h </w:instrText>
          </w:r>
          <w:r>
            <w:fldChar w:fldCharType="separate"/>
          </w:r>
          <w:r>
            <w:t>11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_Toc15711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8. 基础配筋</w:t>
          </w:r>
          <w:r>
            <w:tab/>
          </w:r>
          <w:r>
            <w:fldChar w:fldCharType="begin"/>
          </w:r>
          <w:r>
            <w:instrText xml:space="preserve"> PAGEREF _Toc15711 \h </w:instrText>
          </w:r>
          <w:r>
            <w:fldChar w:fldCharType="separate"/>
          </w:r>
          <w:r>
            <w:t>13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_Toc3975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1. 承台配筋结果</w:t>
          </w:r>
          <w:r>
            <w:tab/>
          </w:r>
          <w:r>
            <w:fldChar w:fldCharType="begin"/>
          </w:r>
          <w:r>
            <w:instrText xml:space="preserve"> PAGEREF _Toc3975 \h </w:instrText>
          </w:r>
          <w:r>
            <w:fldChar w:fldCharType="separate"/>
          </w:r>
          <w:r>
            <w:t>13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_Toc17222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9. 冲剪局压验算结果</w:t>
          </w:r>
          <w:r>
            <w:tab/>
          </w:r>
          <w:r>
            <w:fldChar w:fldCharType="begin"/>
          </w:r>
          <w:r>
            <w:instrText xml:space="preserve"> PAGEREF _Toc17222 \h </w:instrText>
          </w:r>
          <w:r>
            <w:fldChar w:fldCharType="separate"/>
          </w:r>
          <w:r>
            <w:t>13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_Toc27797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1. 桩承台冲剪验算</w:t>
          </w:r>
          <w:r>
            <w:tab/>
          </w:r>
          <w:r>
            <w:fldChar w:fldCharType="begin"/>
          </w:r>
          <w:r>
            <w:instrText xml:space="preserve"> PAGEREF _Toc27797 \h </w:instrText>
          </w:r>
          <w:r>
            <w:fldChar w:fldCharType="separate"/>
          </w:r>
          <w:r>
            <w:t>14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_Toc6519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10. 结果简图</w:t>
          </w:r>
          <w:r>
            <w:tab/>
          </w:r>
          <w:r>
            <w:fldChar w:fldCharType="begin"/>
          </w:r>
          <w:r>
            <w:instrText xml:space="preserve"> PAGEREF _Toc6519 \h </w:instrText>
          </w:r>
          <w:r>
            <w:fldChar w:fldCharType="separate"/>
          </w:r>
          <w:r>
            <w:t>14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_Toc29971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1. 模型基本简图</w:t>
          </w:r>
          <w:r>
            <w:tab/>
          </w:r>
          <w:r>
            <w:fldChar w:fldCharType="begin"/>
          </w:r>
          <w:r>
            <w:instrText xml:space="preserve"> PAGEREF _Toc29971 \h </w:instrText>
          </w:r>
          <w:r>
            <w:fldChar w:fldCharType="separate"/>
          </w:r>
          <w:r>
            <w:t>14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_Toc25961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2. 板面荷载简图</w:t>
          </w:r>
          <w:r>
            <w:tab/>
          </w:r>
          <w:r>
            <w:fldChar w:fldCharType="begin"/>
          </w:r>
          <w:r>
            <w:instrText xml:space="preserve"> PAGEREF _Toc25961 \h </w:instrText>
          </w:r>
          <w:r>
            <w:fldChar w:fldCharType="separate"/>
          </w:r>
          <w:r>
            <w:t>16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_Toc19735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3. 模型桩土刚度简图</w:t>
          </w:r>
          <w:r>
            <w:tab/>
          </w:r>
          <w:r>
            <w:fldChar w:fldCharType="begin"/>
          </w:r>
          <w:r>
            <w:instrText xml:space="preserve"> PAGEREF _Toc19735 \h </w:instrText>
          </w:r>
          <w:r>
            <w:fldChar w:fldCharType="separate"/>
          </w:r>
          <w:r>
            <w:t>17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_Toc25966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4. 承载力计算结果</w:t>
          </w:r>
          <w:r>
            <w:tab/>
          </w:r>
          <w:r>
            <w:fldChar w:fldCharType="begin"/>
          </w:r>
          <w:r>
            <w:instrText xml:space="preserve"> PAGEREF _Toc25966 \h </w:instrText>
          </w:r>
          <w:r>
            <w:fldChar w:fldCharType="separate"/>
          </w:r>
          <w:r>
            <w:t>18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_Toc502 </w:instrText>
          </w:r>
          <w:r>
            <w:fldChar w:fldCharType="separate"/>
          </w:r>
          <w:r>
            <w:rPr>
              <w:rFonts w:hint="eastAsia" w:ascii="宋体" w:eastAsia="宋体"/>
              <w:szCs w:val="24"/>
              <w:shd w:val="clear" w:color="auto" w:fill="FFFFFF"/>
            </w:rPr>
            <w:t>(1). 无震最大反力</w:t>
          </w:r>
          <w:r>
            <w:tab/>
          </w:r>
          <w:r>
            <w:fldChar w:fldCharType="begin"/>
          </w:r>
          <w:r>
            <w:instrText xml:space="preserve"> PAGEREF _Toc502 \h </w:instrText>
          </w:r>
          <w:r>
            <w:fldChar w:fldCharType="separate"/>
          </w:r>
          <w:r>
            <w:t>18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_Toc16551 </w:instrText>
          </w:r>
          <w:r>
            <w:fldChar w:fldCharType="separate"/>
          </w:r>
          <w:r>
            <w:rPr>
              <w:rFonts w:hint="eastAsia" w:ascii="宋体" w:eastAsia="宋体"/>
              <w:szCs w:val="24"/>
              <w:shd w:val="clear" w:color="auto" w:fill="FFFFFF"/>
            </w:rPr>
            <w:t>(2). 有震最大反力</w:t>
          </w:r>
          <w:r>
            <w:tab/>
          </w:r>
          <w:r>
            <w:fldChar w:fldCharType="begin"/>
          </w:r>
          <w:r>
            <w:instrText xml:space="preserve"> PAGEREF _Toc16551 \h </w:instrText>
          </w:r>
          <w:r>
            <w:fldChar w:fldCharType="separate"/>
          </w:r>
          <w:r>
            <w:t>19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_Toc14565 </w:instrText>
          </w:r>
          <w:r>
            <w:fldChar w:fldCharType="separate"/>
          </w:r>
          <w:r>
            <w:rPr>
              <w:rFonts w:hint="eastAsia" w:ascii="宋体" w:eastAsia="宋体"/>
              <w:szCs w:val="24"/>
              <w:shd w:val="clear" w:color="auto" w:fill="FFFFFF"/>
            </w:rPr>
            <w:t>(3). 软弱下卧层验算</w:t>
          </w:r>
          <w:r>
            <w:tab/>
          </w:r>
          <w:r>
            <w:fldChar w:fldCharType="begin"/>
          </w:r>
          <w:r>
            <w:instrText xml:space="preserve"> PAGEREF _Toc14565 \h </w:instrText>
          </w:r>
          <w:r>
            <w:fldChar w:fldCharType="separate"/>
          </w:r>
          <w:r>
            <w:t>20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_Toc8106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5. 弯矩计算结果</w:t>
          </w:r>
          <w:r>
            <w:tab/>
          </w:r>
          <w:r>
            <w:fldChar w:fldCharType="begin"/>
          </w:r>
          <w:r>
            <w:instrText xml:space="preserve"> PAGEREF _Toc8106 \h </w:instrText>
          </w:r>
          <w:r>
            <w:fldChar w:fldCharType="separate"/>
          </w:r>
          <w:r>
            <w:t>21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_Toc30607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6. 配筋计算结果</w:t>
          </w:r>
          <w:r>
            <w:tab/>
          </w:r>
          <w:r>
            <w:fldChar w:fldCharType="begin"/>
          </w:r>
          <w:r>
            <w:instrText xml:space="preserve"> PAGEREF _Toc30607 \h </w:instrText>
          </w:r>
          <w:r>
            <w:fldChar w:fldCharType="separate"/>
          </w:r>
          <w:r>
            <w:t>22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_Toc6965 </w:instrText>
          </w:r>
          <w:r>
            <w:fldChar w:fldCharType="separate"/>
          </w:r>
          <w:r>
            <w:rPr>
              <w:rFonts w:hint="eastAsia" w:ascii="宋体" w:eastAsia="宋体"/>
              <w:szCs w:val="24"/>
              <w:shd w:val="clear" w:color="auto" w:fill="FFFFFF"/>
            </w:rPr>
            <w:t>(1). 配筋简图(主模型)</w:t>
          </w:r>
          <w:r>
            <w:tab/>
          </w:r>
          <w:r>
            <w:fldChar w:fldCharType="begin"/>
          </w:r>
          <w:r>
            <w:instrText xml:space="preserve"> PAGEREF _Toc6965 \h </w:instrText>
          </w:r>
          <w:r>
            <w:fldChar w:fldCharType="separate"/>
          </w:r>
          <w:r>
            <w:t>22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_Toc32368 </w:instrText>
          </w:r>
          <w:r>
            <w:fldChar w:fldCharType="separate"/>
          </w:r>
          <w:r>
            <w:rPr>
              <w:rFonts w:hint="eastAsia" w:ascii="宋体" w:eastAsia="宋体"/>
              <w:szCs w:val="24"/>
              <w:shd w:val="clear" w:color="auto" w:fill="FFFFFF"/>
            </w:rPr>
            <w:t>(2). 配筋简图-顶筋(主模型)</w:t>
          </w:r>
          <w:r>
            <w:tab/>
          </w:r>
          <w:r>
            <w:fldChar w:fldCharType="begin"/>
          </w:r>
          <w:r>
            <w:instrText xml:space="preserve"> PAGEREF _Toc32368 \h </w:instrText>
          </w:r>
          <w:r>
            <w:fldChar w:fldCharType="separate"/>
          </w:r>
          <w:r>
            <w:t>23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_Toc14760 </w:instrText>
          </w:r>
          <w:r>
            <w:fldChar w:fldCharType="separate"/>
          </w:r>
          <w:r>
            <w:rPr>
              <w:rFonts w:hint="eastAsia" w:ascii="宋体" w:eastAsia="宋体"/>
              <w:szCs w:val="24"/>
              <w:shd w:val="clear" w:color="auto" w:fill="FFFFFF"/>
            </w:rPr>
            <w:t>(3). 配筋简图-底筋(主模型)</w:t>
          </w:r>
          <w:r>
            <w:tab/>
          </w:r>
          <w:r>
            <w:fldChar w:fldCharType="begin"/>
          </w:r>
          <w:r>
            <w:instrText xml:space="preserve"> PAGEREF _Toc14760 \h </w:instrText>
          </w:r>
          <w:r>
            <w:fldChar w:fldCharType="separate"/>
          </w:r>
          <w:r>
            <w:t>24</w:t>
          </w:r>
          <w:r>
            <w:fldChar w:fldCharType="end"/>
          </w:r>
          <w:r>
            <w:fldChar w:fldCharType="end"/>
          </w:r>
        </w:p>
        <w:p>
          <w:r>
            <w:fldChar w:fldCharType="end"/>
          </w:r>
        </w:p>
      </w:sdtContent>
    </w:sdt>
    <w:p>
      <w:r>
        <w:br w:type="page"/>
      </w:r>
    </w:p>
    <w:p>
      <w:pPr>
        <w:pStyle w:val="16"/>
        <w:jc w:val="left"/>
      </w:pPr>
      <w:bookmarkStart w:id="0" w:name="_Toc10768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1. 设计依据</w:t>
      </w:r>
      <w:bookmarkEnd w:id="0"/>
    </w:p>
    <w:tbl>
      <w:tblPr>
        <w:tblStyle w:val="42"/>
        <w:tblW w:w="907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2"/>
      </w:tblGrid>
      <w:tr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1.《混凝土结构设计规范》(GB50010-2010)(2015年版)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2.《建筑地基基础设计规范》(GB50007-2011)</w:t>
            </w:r>
          </w:p>
        </w:tc>
      </w:tr>
      <w:tr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3.《建筑抗震设计规范》(GB50011-2010)(2016年版)</w:t>
            </w:r>
          </w:p>
        </w:tc>
      </w:tr>
      <w:tr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4.《建筑结构荷载规范》(GB50009-2012)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5.《人民防空地下室设计规范》(GB50038-2005)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6.《建筑桩基技术规范》(JGJ94-2008)</w:t>
            </w:r>
          </w:p>
        </w:tc>
      </w:tr>
      <w:tr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7.《建筑地基处理技术规范》(JGJ79-2012)</w:t>
            </w:r>
          </w:p>
        </w:tc>
      </w:tr>
      <w:tr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8.《高层建筑筏形与箱形基础技术规范》(JGJ6-2011)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9.《高压喷射扩大头锚杆技术规程》(JGJT282-2012)</w:t>
            </w:r>
          </w:p>
        </w:tc>
      </w:tr>
      <w:tr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10.《工程结构通用规范》(GB55001-2021)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11.《混凝土结构通用规范》(GB55008-2021)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12.《建筑与市政地基基础通用规范》(GB55003-2021)</w:t>
            </w:r>
          </w:p>
        </w:tc>
      </w:tr>
    </w:tbl>
    <w:p>
      <w:pPr>
        <w:pStyle w:val="16"/>
        <w:jc w:val="left"/>
      </w:pPr>
      <w:bookmarkStart w:id="1" w:name="_Toc13177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2. 计算软件信息</w:t>
      </w:r>
      <w:bookmarkEnd w:id="1"/>
    </w:p>
    <w:p>
      <w:pPr>
        <w:spacing w:beforeLines="283" w:afterLines="283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30"/>
          <w:szCs w:val="30"/>
          <w:shd w:val="clear" w:color="auto" w:fill="FFFFFF"/>
        </w:rPr>
        <w:t>本工程计算软件为PKPM2021-V1.5.1 JCCAD</w:t>
      </w:r>
    </w:p>
    <w:p>
      <w:pPr>
        <w:pStyle w:val="16"/>
        <w:jc w:val="left"/>
      </w:pPr>
      <w:bookmarkStart w:id="2" w:name="_Toc24671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3. 计算参数</w:t>
      </w:r>
      <w:bookmarkEnd w:id="2"/>
    </w:p>
    <w:p>
      <w:pPr>
        <w:pStyle w:val="3"/>
      </w:pPr>
      <w:bookmarkStart w:id="3" w:name="_Toc9598"/>
      <w:r>
        <w:t>1总信息</w:t>
      </w:r>
      <w:bookmarkEnd w:id="3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结构重要性系数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拉梁承担弯矩比例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自动按楼层折减活荷载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活荷载按楼层折减系数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平面荷载按轴线平均(适于砌体结构)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考虑墙洞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分配无柱节点荷载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独基、承台计算考虑防水板面荷载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计算时考虑独基、承台底面范围内的线荷载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混凝土容重(kN/m3)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25.0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覆土平均容重(kN/m3)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20.0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《建筑抗震规范》6.2.3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室外地面标高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-0.15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室内地面标高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地区选择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国家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执行2021版广东高规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执行规范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通用规范(2021版)</w:t>
            </w:r>
          </w:p>
        </w:tc>
      </w:tr>
    </w:tbl>
    <w:p>
      <w:pPr>
        <w:pStyle w:val="3"/>
      </w:pPr>
      <w:bookmarkStart w:id="4" w:name="_Toc15649"/>
      <w:r>
        <w:t>2荷载信息</w:t>
      </w:r>
      <w:bookmarkEnd w:id="4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历史最低水位(m)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不考虑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历史最高水位(m)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不考虑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抗浮工程设计等级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乙级</w:t>
            </w:r>
          </w:p>
        </w:tc>
      </w:tr>
      <w:tr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抗浮重要性系数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1.05</w:t>
            </w:r>
          </w:p>
        </w:tc>
      </w:tr>
      <w:tr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抗浮稳定安全系数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水浮力的基本组合分项系数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水浮力的标准组合分项系数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执行《建筑结构可靠性设计统一标准》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人防等级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底板等效静荷载(kPa)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</w:t>
            </w:r>
          </w:p>
        </w:tc>
      </w:tr>
    </w:tbl>
    <w:p>
      <w:pPr>
        <w:pStyle w:val="3"/>
      </w:pPr>
      <w:bookmarkStart w:id="5" w:name="_Toc8678"/>
      <w:r>
        <w:t>3地基承载力参数</w:t>
      </w:r>
      <w:bookmarkEnd w:id="5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确定地基承载力时采用的规范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中华人民共和国国家标准 地基规范GB50007-2011 5.2.4 综合法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地基承载力特征值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180.0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基础宽度的地基承载力修正系数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基础埋深的地基承载力修正系数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基础底面以下土的重度(或浮重度)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20.0</w:t>
            </w:r>
          </w:p>
        </w:tc>
      </w:tr>
      <w:tr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基础底面以上土的加权平均重度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20.0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确定地基承载力所用的基础埋置深度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地基抗震承载力调整系数: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1.300</w:t>
            </w:r>
          </w:p>
        </w:tc>
      </w:tr>
    </w:tbl>
    <w:p>
      <w:pPr>
        <w:pStyle w:val="3"/>
      </w:pPr>
      <w:bookmarkStart w:id="6" w:name="_Toc3707"/>
      <w:r>
        <w:t>4承台自动布置参数</w:t>
      </w:r>
      <w:bookmarkEnd w:id="6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承台类型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阶形现浇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承台桩间距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1500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承台桩边距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承台尺寸模数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承台阶数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承台阶高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单桩,承台桩长度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三桩承台围区生成切角参数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不切角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桩承载力按共同作用调整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矩形两桩承台按梁构件计算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按深受弯构件设计的跨高比界限值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深受弯构件的水平分布筋取值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等于竖向分布筋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深受弯构件箍筋的构造按普通梁要求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</w:tbl>
    <w:p>
      <w:pPr>
        <w:pStyle w:val="3"/>
      </w:pPr>
      <w:bookmarkStart w:id="7" w:name="_Toc24129"/>
      <w:r>
        <w:t>5沉降参数</w:t>
      </w:r>
      <w:bookmarkEnd w:id="7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是否进行沉降计算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根据迭代确定沉降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根据迭代确定施工步沉降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桩基沉降计算方法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明德林应力公式方法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土的(平均)泊松比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0.35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单元沉降计算方法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完全柔性算法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考虑相邻荷载的水平面影响范围(m)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考虑相邻桩基的水平面影响范围(几倍桩长)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0.60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明德林沉降桩顶荷载效应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总荷载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自动计算桩端阻力比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均匀分布侧阻力比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沉降计算深度Zn(m)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计算土层厚度△z(m)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沉降计算调整系数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桩基沉降计算调整系数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考虑回弹再压缩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</w:tbl>
    <w:p>
      <w:pPr>
        <w:pStyle w:val="3"/>
      </w:pPr>
      <w:bookmarkStart w:id="8" w:name="_Toc15314"/>
      <w:r>
        <w:t>6计算设计参数</w:t>
      </w:r>
      <w:bookmarkEnd w:id="8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计算模型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Winkler模型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梁元法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地基类型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天然地基、常规桩基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上部结构刚度影响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不考虑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剪力墙考虑高度(m)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自动将防水板外边缘按固端处理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有限元网格控制边长(m)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网格划分方法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铺砌法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考虑罚单元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使用边交换算法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锚杆杆件弹性模量(kN/mm2)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200.00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桩的嵌固系数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防水板模型是否考虑桩锚作用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基床系数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基于构件沉降反推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桩刚度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桩基规范附录C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计算考虑板自重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荷载施加考虑柱墙实际尺寸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后浇带施工前加载比例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后浇带系数只影响恒载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线性方程组解法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Mumps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非线性迭代最大次数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迭代误差控制参数(mm)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非线性荷载加载步数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板单元内设计弯矩统计依据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最大值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箍筋间距(mm)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配筋到柱墙边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基础设计采用沉降模型的桩土刚度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柱底设计弯矩折减系数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墙底设计弯矩折减系数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</w:tbl>
    <w:p>
      <w:pPr>
        <w:pStyle w:val="16"/>
        <w:jc w:val="left"/>
      </w:pPr>
      <w:bookmarkStart w:id="9" w:name="_Toc21543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4. 模型概况</w:t>
      </w:r>
      <w:bookmarkEnd w:id="9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表4-1构件数目统计</w:t>
      </w:r>
    </w:p>
    <w:tbl>
      <w:tblPr>
        <w:tblStyle w:val="33"/>
        <w:tblW w:w="9072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2268"/>
        <w:gridCol w:w="5670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</w:tblPrEx>
        <w:trPr>
          <w:tblHeader/>
          <w:jc w:val="center"/>
        </w:trPr>
        <w:tc>
          <w:tcPr>
            <w:tcW w:w="3402" w:type="dxa"/>
            <w:gridSpan w:val="2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构件类型</w:t>
            </w:r>
          </w:p>
        </w:tc>
        <w:tc>
          <w:tcPr>
            <w:tcW w:w="5670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构件数目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2" w:type="dxa"/>
            <w:gridSpan w:val="2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拉梁</w:t>
            </w:r>
          </w:p>
        </w:tc>
        <w:tc>
          <w:tcPr>
            <w:tcW w:w="567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18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</w:t>
            </w:r>
          </w:p>
        </w:tc>
        <w:tc>
          <w:tcPr>
            <w:tcW w:w="567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承台桩</w:t>
            </w:r>
          </w:p>
        </w:tc>
        <w:tc>
          <w:tcPr>
            <w:tcW w:w="567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</w:t>
            </w:r>
          </w:p>
        </w:tc>
      </w:tr>
    </w:tbl>
    <w:p>
      <w:pPr>
        <w:pStyle w:val="16"/>
        <w:jc w:val="left"/>
      </w:pPr>
      <w:bookmarkStart w:id="10" w:name="_Toc28923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5. 工况和组合</w:t>
      </w:r>
      <w:bookmarkEnd w:id="10"/>
    </w:p>
    <w:p>
      <w:pPr>
        <w:pStyle w:val="3"/>
        <w:jc w:val="left"/>
      </w:pPr>
      <w:bookmarkStart w:id="11" w:name="_Toc15926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1. 工况信息</w:t>
      </w:r>
      <w:bookmarkEnd w:id="11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表5-1工况荷载统计</w:t>
      </w:r>
    </w:p>
    <w:tbl>
      <w:tblPr>
        <w:tblStyle w:val="33"/>
        <w:tblW w:w="10206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2551"/>
        <w:gridCol w:w="2552"/>
        <w:gridCol w:w="2552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551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工况</w:t>
            </w:r>
          </w:p>
        </w:tc>
        <w:tc>
          <w:tcPr>
            <w:tcW w:w="255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竖向力(kN)</w:t>
            </w:r>
          </w:p>
        </w:tc>
        <w:tc>
          <w:tcPr>
            <w:tcW w:w="255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X向水平力(kN)</w:t>
            </w:r>
          </w:p>
        </w:tc>
        <w:tc>
          <w:tcPr>
            <w:tcW w:w="255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Y向水平力(kN)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恒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5499.16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活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300.52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风x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277.05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风y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102.78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地x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0.56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198.95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2.17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地y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-19.19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-1.17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205.92</w:t>
            </w:r>
          </w:p>
        </w:tc>
      </w:tr>
    </w:tbl>
    <w:p>
      <w:pPr>
        <w:pStyle w:val="3"/>
        <w:jc w:val="left"/>
      </w:pPr>
      <w:bookmarkStart w:id="12" w:name="_Toc11220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2. 构件内力基本组合信息</w:t>
      </w:r>
      <w:bookmarkEnd w:id="12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表5-2标准组合</w:t>
      </w:r>
    </w:p>
    <w:tbl>
      <w:tblPr>
        <w:tblStyle w:val="33"/>
        <w:tblW w:w="10206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8505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701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编号</w:t>
            </w:r>
          </w:p>
        </w:tc>
        <w:tc>
          <w:tcPr>
            <w:tcW w:w="8505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组合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1(1)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2(2)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3(3)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1.00*恒-1.00*风x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4(4)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5(5)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1.00*恒-1.00*风y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6(6)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1.00*恒+1.00*活+0.60*风x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7(7)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1.00*恒+1.00*活-0.60*风x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8(8)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1.00*恒+1.00*活+0.60*风y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9(9)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1.00*恒+1.00*活-0.60*风y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10(10)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1.00*恒+0.70*活+1.00*风x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11(11)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1.00*恒+0.70*活-1.00*风x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12(12)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1.00*恒+0.70*活+1.00*风y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13(13)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1.00*恒+0.70*活-1.00*风y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14(14)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1.00*恒+1.00*地x+0.50*活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15(15)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1.00*恒-1.00*地x+0.50*活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16(16)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1.00*恒+1.00*地y+0.50*活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17(17)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1.00*恒-1.00*地y+0.50*活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06" w:type="dxa"/>
            <w:gridSpan w:val="2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*括号内的编号为组合总的编号</w:t>
            </w:r>
          </w:p>
        </w:tc>
      </w:tr>
    </w:tbl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表5-3准永久组合</w:t>
      </w:r>
    </w:p>
    <w:tbl>
      <w:tblPr>
        <w:tblStyle w:val="33"/>
        <w:tblW w:w="10206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8505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701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编号</w:t>
            </w:r>
          </w:p>
        </w:tc>
        <w:tc>
          <w:tcPr>
            <w:tcW w:w="8505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组合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1(18)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1.00*恒+0.50*活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06" w:type="dxa"/>
            <w:gridSpan w:val="2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*括号内的编号为组合总的编号</w:t>
            </w:r>
          </w:p>
        </w:tc>
      </w:tr>
    </w:tbl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表5-4基本组合</w:t>
      </w:r>
    </w:p>
    <w:tbl>
      <w:tblPr>
        <w:tblStyle w:val="33"/>
        <w:tblW w:w="10206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8505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701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编号</w:t>
            </w:r>
          </w:p>
        </w:tc>
        <w:tc>
          <w:tcPr>
            <w:tcW w:w="8505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组合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1(19)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2(20)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3(21)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1.30*恒-1.50*风x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4(22)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5(23)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1.30*恒-1.50*风y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6(24)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1.30*恒+1.50*活+0.90*风x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7(25)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1.30*恒+1.50*活-0.90*风x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8(26)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1.30*恒+1.50*活+0.90*风y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9(27)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1.30*恒+1.50*活-0.90*风y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10(28)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1.30*恒+1.05*活+1.50*风x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11(29)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1.30*恒+1.05*活-1.50*风x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12(30)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1.30*恒+1.05*活+1.50*风y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13(31)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1.30*恒+1.05*活-1.50*风y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14(32)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1.30*恒+1.40*地x+0.65*活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15(33)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1.30*恒-1.40*地x+0.65*活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16(34)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1.30*恒+1.40*地y+0.65*活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17(35)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1.30*恒-1.40*地y+0.65*活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06" w:type="dxa"/>
            <w:gridSpan w:val="2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*括号内的编号为组合总的编号</w:t>
            </w:r>
          </w:p>
        </w:tc>
      </w:tr>
    </w:tbl>
    <w:p>
      <w:pPr>
        <w:pStyle w:val="16"/>
        <w:jc w:val="left"/>
      </w:pPr>
      <w:bookmarkStart w:id="13" w:name="_Toc25019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6. 材料</w:t>
      </w:r>
      <w:bookmarkEnd w:id="13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表6-1构件材料信息</w:t>
      </w:r>
    </w:p>
    <w:tbl>
      <w:tblPr>
        <w:tblStyle w:val="33"/>
        <w:tblW w:w="11056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"/>
        <w:gridCol w:w="1417"/>
        <w:gridCol w:w="1417"/>
        <w:gridCol w:w="1417"/>
        <w:gridCol w:w="1417"/>
        <w:gridCol w:w="1417"/>
        <w:gridCol w:w="850"/>
        <w:gridCol w:w="850"/>
        <w:gridCol w:w="854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417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构件类型</w:t>
            </w:r>
          </w:p>
        </w:tc>
        <w:tc>
          <w:tcPr>
            <w:tcW w:w="141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混凝土级别</w:t>
            </w:r>
          </w:p>
        </w:tc>
        <w:tc>
          <w:tcPr>
            <w:tcW w:w="141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钢筋级别</w:t>
            </w:r>
          </w:p>
        </w:tc>
        <w:tc>
          <w:tcPr>
            <w:tcW w:w="141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箍筋级别</w:t>
            </w:r>
          </w:p>
        </w:tc>
        <w:tc>
          <w:tcPr>
            <w:tcW w:w="141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顶层保护层厚度(mm)</w:t>
            </w:r>
          </w:p>
        </w:tc>
        <w:tc>
          <w:tcPr>
            <w:tcW w:w="141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底层保护层厚度(mm)</w:t>
            </w:r>
          </w:p>
        </w:tc>
        <w:tc>
          <w:tcPr>
            <w:tcW w:w="2551" w:type="dxa"/>
            <w:gridSpan w:val="3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最小配筋率(%)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独基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C40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0.15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C40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0.15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承台桩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C40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地基梁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C40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20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85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85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85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筏板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C40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20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85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0.15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0.15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C40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拉梁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C40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条基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C40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0.15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独基短柱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C40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HPB300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56" w:type="dxa"/>
            <w:gridSpan w:val="9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   注：1.地基梁最小配筋率三项分别为：梁肋、翼缘受力筋最小配筋率。2.筏板最小配筋率两项分别为：常规筏板、防水板的最小配筋率。3.最小配筋率填 0 时，表示该构件的最小配筋率按规范构造要求执行。</w:t>
            </w:r>
          </w:p>
        </w:tc>
      </w:tr>
    </w:tbl>
    <w:p>
      <w:pPr>
        <w:pStyle w:val="16"/>
        <w:jc w:val="left"/>
      </w:pPr>
      <w:bookmarkStart w:id="14" w:name="_Toc1974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7. 桩基承载力验算</w:t>
      </w:r>
      <w:bookmarkEnd w:id="14"/>
    </w:p>
    <w:p>
      <w:pPr>
        <w:pStyle w:val="3"/>
        <w:jc w:val="left"/>
      </w:pPr>
      <w:bookmarkStart w:id="15" w:name="_Toc13030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1. 承台桩承载力结果</w:t>
      </w:r>
      <w:bookmarkEnd w:id="15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表7-1承台桩承载力验算结果</w:t>
      </w:r>
    </w:p>
    <w:tbl>
      <w:tblPr>
        <w:tblStyle w:val="33"/>
        <w:tblW w:w="9639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3402"/>
        <w:gridCol w:w="2835"/>
        <w:gridCol w:w="1701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701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编号</w:t>
            </w:r>
          </w:p>
        </w:tc>
        <w:tc>
          <w:tcPr>
            <w:tcW w:w="3402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详情</w:t>
            </w:r>
          </w:p>
        </w:tc>
        <w:tc>
          <w:tcPr>
            <w:tcW w:w="2835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结论</w:t>
            </w:r>
          </w:p>
        </w:tc>
        <w:tc>
          <w:tcPr>
            <w:tcW w:w="170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总结论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CT-1</w:t>
            </w: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334.2(1400.0)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Nk,max(1.2*R)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334.2(1680.0)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Nk,avgE(R)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351.7(1750.0)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Nk,maxE(1.5R)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351.7(2100.0)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Nt(Rt)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0.0(300.0)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Hk(Rh)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不需要验算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CT-2</w:t>
            </w: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319.4(1400.0)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Nk,max(1.2*R)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319.4(1680.0)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Nk,avgE(R)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337.2(1750.0)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Nk,maxE(1.5R)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337.2(2100.0)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Nt(Rt)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0.0(300.0)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Hk(Rh)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不需要验算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CT-3</w:t>
            </w: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769.2(1400.0)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Nk,max(1.2*R)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769.2(1680.0)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Nk,avgE(R)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735.0(1750.0)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Nk,maxE(1.5R)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735.0(2100.0)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Nt(Rt)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0.0(300.0)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Hk(Rh)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不需要验算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CT-4</w:t>
            </w: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725.9(1400.0)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Nk,max(1.2*R)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725.9(1680.0)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Nk,avgE(R)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691.3(1750.0)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Nk,maxE(1.5R)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691.3(2100.0)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Nt(Rt)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0.0(300.0)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Hk(Rh)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不需要验算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CT-5</w:t>
            </w: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534.4(1400.0)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Nk,max(1.2*R)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534.4(1680.0)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Nk,avgE(R)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525.6(1750.0)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Nk,maxE(1.5R)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525.6(2100.0)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Nt(Rt)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0.0(300.0)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Hk(Rh)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不需要验算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CT-6</w:t>
            </w: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543.6(1400.0)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Nk,max(1.2*R)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543.6(1680.0)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Nk,avgE(R)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534.8(1750.0)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Nk,maxE(1.5R)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534.8(2100.0)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Nt(Rt)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0.0(300.0)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Hk(Rh)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不需要验算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CT-7</w:t>
            </w: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841.2(1400.0)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Nk,max(1.2*R)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841.2(1680.0)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Nk,avgE(R)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826.2(1750.0)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Nk,maxE(1.5R)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826.2(2100.0)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Nt(Rt)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0.0(300.0)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Hk(Rh)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不需要验算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CT-8</w:t>
            </w: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859.0(1400.0)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Nk,max(1.2*R)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859.0(1680.0)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Nk,avgE(R)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841.7(1750.0)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Nk,maxE(1.5R)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841.7(2100.0)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Nt(Rt)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0.0(300.0)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Hk(Rh)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不需要验算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CT-9</w:t>
            </w: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564.4(1400.0)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Nk,max(1.2*R)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564.4(1680.0)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Nk,avgE(R)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566.1(1750.0)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Nk,maxE(1.5R)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566.1(2100.0)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Nt(Rt)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0.0(300.0)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Hk(Rh)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不需要验算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CT-10</w:t>
            </w: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583.8(1400.0)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Nk,max(1.2*R)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583.8(1680.0)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Nk,avgE(R)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583.5(1750.0)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Nk,maxE(1.5R)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583.5(2100.0)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Nt(Rt)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0.0(300.0)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Hk(Rh)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不需要验算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</w:tbl>
    <w:p>
      <w:pPr>
        <w:pStyle w:val="16"/>
        <w:jc w:val="left"/>
      </w:pPr>
      <w:bookmarkStart w:id="16" w:name="_Toc15711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8. 基础配筋</w:t>
      </w:r>
      <w:bookmarkEnd w:id="16"/>
    </w:p>
    <w:p>
      <w:pPr>
        <w:pStyle w:val="3"/>
        <w:jc w:val="left"/>
      </w:pPr>
      <w:bookmarkStart w:id="17" w:name="_Toc3975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1. 承台配筋结果</w:t>
      </w:r>
      <w:bookmarkEnd w:id="17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表8-1承台配筋验算结果</w:t>
      </w:r>
    </w:p>
    <w:tbl>
      <w:tblPr>
        <w:tblStyle w:val="33"/>
        <w:tblW w:w="9639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2551"/>
        <w:gridCol w:w="1701"/>
        <w:gridCol w:w="2551"/>
        <w:gridCol w:w="1702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4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编号</w:t>
            </w:r>
          </w:p>
        </w:tc>
        <w:tc>
          <w:tcPr>
            <w:tcW w:w="255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Mx(kN*m)(组合)</w:t>
            </w:r>
          </w:p>
        </w:tc>
        <w:tc>
          <w:tcPr>
            <w:tcW w:w="170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X向配筋(cm*cm/m)</w:t>
            </w:r>
          </w:p>
        </w:tc>
        <w:tc>
          <w:tcPr>
            <w:tcW w:w="255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My(kN*m)(组合)</w:t>
            </w:r>
          </w:p>
        </w:tc>
        <w:tc>
          <w:tcPr>
            <w:tcW w:w="170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Y向配筋(cm*cm/m)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CT-1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13.50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13.50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CT-2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13.50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13.50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CT-3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13.50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13.50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CT-4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13.50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13.50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CT-5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13.50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13.50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CT-6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13.50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13.50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CT-7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13.50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13.50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CT-8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13.50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13.50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CT-9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13.50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13.50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CT-10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13.50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13.50</w:t>
            </w:r>
          </w:p>
        </w:tc>
      </w:tr>
    </w:tbl>
    <w:p>
      <w:pPr>
        <w:pStyle w:val="16"/>
        <w:jc w:val="left"/>
      </w:pPr>
      <w:bookmarkStart w:id="18" w:name="_Toc17222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9. 冲剪局压验算结果</w:t>
      </w:r>
      <w:bookmarkEnd w:id="18"/>
    </w:p>
    <w:p>
      <w:pPr>
        <w:pStyle w:val="3"/>
        <w:jc w:val="left"/>
      </w:pPr>
      <w:bookmarkStart w:id="19" w:name="_Toc27797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1. 桩承台冲剪验算</w:t>
      </w:r>
      <w:bookmarkEnd w:id="19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表9-1桩承台冲切剪切计算结果</w:t>
      </w:r>
    </w:p>
    <w:tbl>
      <w:tblPr>
        <w:tblStyle w:val="33"/>
        <w:tblW w:w="9412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7"/>
        <w:gridCol w:w="1927"/>
        <w:gridCol w:w="2268"/>
        <w:gridCol w:w="1985"/>
        <w:gridCol w:w="1985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247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序号</w:t>
            </w:r>
          </w:p>
        </w:tc>
        <w:tc>
          <w:tcPr>
            <w:tcW w:w="192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桩冲切系数</w:t>
            </w:r>
          </w:p>
        </w:tc>
        <w:tc>
          <w:tcPr>
            <w:tcW w:w="2268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柱冲切系数</w:t>
            </w:r>
          </w:p>
        </w:tc>
        <w:tc>
          <w:tcPr>
            <w:tcW w:w="1984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剪切系数</w:t>
            </w:r>
          </w:p>
        </w:tc>
        <w:tc>
          <w:tcPr>
            <w:tcW w:w="1984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结论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CT-1</w:t>
            </w:r>
          </w:p>
        </w:tc>
        <w:tc>
          <w:tcPr>
            <w:tcW w:w="192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50.00(19)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CT-2</w:t>
            </w:r>
          </w:p>
        </w:tc>
        <w:tc>
          <w:tcPr>
            <w:tcW w:w="192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50.00(19)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CT-3</w:t>
            </w:r>
          </w:p>
        </w:tc>
        <w:tc>
          <w:tcPr>
            <w:tcW w:w="192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50.00(19)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CT-4</w:t>
            </w:r>
          </w:p>
        </w:tc>
        <w:tc>
          <w:tcPr>
            <w:tcW w:w="192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50.00(19)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CT-5</w:t>
            </w:r>
          </w:p>
        </w:tc>
        <w:tc>
          <w:tcPr>
            <w:tcW w:w="192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50.00(19)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CT-6</w:t>
            </w:r>
          </w:p>
        </w:tc>
        <w:tc>
          <w:tcPr>
            <w:tcW w:w="192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50.00(19)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CT-7</w:t>
            </w:r>
          </w:p>
        </w:tc>
        <w:tc>
          <w:tcPr>
            <w:tcW w:w="192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50.00(19)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CT-8</w:t>
            </w:r>
          </w:p>
        </w:tc>
        <w:tc>
          <w:tcPr>
            <w:tcW w:w="192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50.00(19)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CT-9</w:t>
            </w:r>
          </w:p>
        </w:tc>
        <w:tc>
          <w:tcPr>
            <w:tcW w:w="192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50.00(19)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CT-10</w:t>
            </w:r>
          </w:p>
        </w:tc>
        <w:tc>
          <w:tcPr>
            <w:tcW w:w="192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50.00(19)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</w:tbl>
    <w:p>
      <w:pPr>
        <w:pStyle w:val="16"/>
        <w:jc w:val="left"/>
      </w:pPr>
      <w:bookmarkStart w:id="20" w:name="_Toc6519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10. 结果简图</w:t>
      </w:r>
      <w:bookmarkEnd w:id="20"/>
    </w:p>
    <w:p>
      <w:pPr>
        <w:pStyle w:val="3"/>
        <w:jc w:val="left"/>
      </w:pPr>
      <w:bookmarkStart w:id="21" w:name="_Toc29971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1. 模型基本简图</w:t>
      </w:r>
      <w:bookmarkEnd w:id="21"/>
    </w:p>
    <w:p>
      <w:pPr>
        <w:sectPr>
          <w:headerReference r:id="rId3" w:type="default"/>
          <w:footerReference r:id="rId4" w:type="default"/>
          <w:pgSz w:w="11906" w:h="16838"/>
          <w:pgMar w:top="1814" w:right="1417" w:bottom="1814" w:left="1417" w:header="120" w:footer="200" w:gutter="0"/>
          <w:cols w:space="1134" w:num="1"/>
          <w:titlePg/>
          <w:docGrid w:type="lines" w:linePitch="113" w:charSpace="0"/>
        </w:sectPr>
      </w:pPr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1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图10-1 模型信息</w:t>
      </w:r>
    </w:p>
    <w:p>
      <w:pPr>
        <w:spacing w:beforeLines="0" w:afterLines="0"/>
        <w:jc w:val="left"/>
      </w:pPr>
    </w:p>
    <w:p>
      <w:pPr>
        <w:pStyle w:val="3"/>
        <w:jc w:val="left"/>
      </w:pPr>
      <w:bookmarkStart w:id="22" w:name="_Toc25961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2. 板面荷载简图</w:t>
      </w:r>
      <w:bookmarkEnd w:id="22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2" name="图片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图10-2 板面荷载简图</w:t>
      </w:r>
    </w:p>
    <w:p>
      <w:pPr>
        <w:spacing w:beforeLines="0" w:afterLines="0"/>
        <w:jc w:val="left"/>
      </w:pPr>
      <w:r>
        <w:t>说明: 恒荷载(DL),活荷载(LL),人防(RF),低水位(WL),高水位(WU)。</w:t>
      </w:r>
    </w:p>
    <w:p>
      <w:pPr>
        <w:pStyle w:val="3"/>
        <w:jc w:val="left"/>
      </w:pPr>
      <w:bookmarkStart w:id="23" w:name="_Toc19735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3. 模型桩土刚度简图</w:t>
      </w:r>
      <w:bookmarkEnd w:id="23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3" name="图片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图10-3 桩土刚度简图</w:t>
      </w:r>
    </w:p>
    <w:p>
      <w:pPr>
        <w:spacing w:beforeLines="0" w:afterLines="0"/>
        <w:jc w:val="left"/>
      </w:pPr>
      <w:r>
        <w:t>说明: 1、基床系数单位为kN/m^3，桩抗压、抗拉刚度单位为kN/m、弯曲刚度为kN*m/rad。</w:t>
      </w:r>
    </w:p>
    <w:p>
      <w:pPr>
        <w:pStyle w:val="3"/>
        <w:jc w:val="left"/>
      </w:pPr>
      <w:bookmarkStart w:id="24" w:name="_Toc25966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4. 承载力计算结果</w:t>
      </w:r>
      <w:bookmarkEnd w:id="24"/>
    </w:p>
    <w:p>
      <w:pPr>
        <w:pStyle w:val="4"/>
        <w:jc w:val="left"/>
      </w:pPr>
      <w:bookmarkStart w:id="25" w:name="_Toc502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(1). 无震最大反力</w:t>
      </w:r>
      <w:bookmarkEnd w:id="25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4" name="图片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图10-4 无震最大反力</w:t>
      </w:r>
    </w:p>
    <w:p>
      <w:pPr>
        <w:spacing w:beforeLines="0" w:afterLines="0"/>
        <w:jc w:val="left"/>
      </w:pPr>
    </w:p>
    <w:p>
      <w:pPr>
        <w:pStyle w:val="4"/>
        <w:jc w:val="left"/>
      </w:pPr>
      <w:bookmarkStart w:id="26" w:name="_Toc16551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(2). 有震最大反力</w:t>
      </w:r>
      <w:bookmarkEnd w:id="26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5" name="图片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图10-5 有震最大反力</w:t>
      </w:r>
    </w:p>
    <w:p>
      <w:pPr>
        <w:spacing w:beforeLines="0" w:afterLines="0"/>
        <w:jc w:val="left"/>
      </w:pPr>
    </w:p>
    <w:p>
      <w:pPr>
        <w:pStyle w:val="4"/>
        <w:jc w:val="left"/>
      </w:pPr>
      <w:bookmarkStart w:id="27" w:name="_Toc14565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(3). 软弱下卧层验算</w:t>
      </w:r>
      <w:bookmarkEnd w:id="27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6" name="图片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图10-6 软弱下卧层验算</w:t>
      </w:r>
    </w:p>
    <w:p>
      <w:pPr>
        <w:spacing w:beforeLines="0" w:afterLines="0"/>
        <w:jc w:val="left"/>
      </w:pPr>
      <w:r>
        <w:t>说明: pz:相应于作用的标准组合时，软弱下卧层顶面处的附加压力值(kPa)(括号内为控制组合); pcz:软弱下卧层顶面处土的自重压力值(kPa); faz:软弱下卧层经深度修正的地基承载力特征值。</w:t>
      </w:r>
    </w:p>
    <w:p>
      <w:pPr>
        <w:pStyle w:val="3"/>
        <w:jc w:val="left"/>
      </w:pPr>
      <w:bookmarkStart w:id="28" w:name="_Toc8106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5. 弯矩计算结果</w:t>
      </w:r>
      <w:bookmarkEnd w:id="28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7" name="图片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图10-7 弯矩图</w:t>
      </w:r>
    </w:p>
    <w:p>
      <w:pPr>
        <w:spacing w:beforeLines="0" w:afterLines="0"/>
        <w:jc w:val="left"/>
      </w:pPr>
      <w:r>
        <w:t>说明: 1、独基、承台图中数值由上到下依次表示板底绕y轴、x轴的弯矩Mx、My。2、对于梁，底部受拉为正，底部受压为负。3、独基、承台弯矩单位为kN*m，板单元和梁的弯矩单位分别为kN*m/m和kN*m。</w:t>
      </w:r>
    </w:p>
    <w:p>
      <w:pPr>
        <w:pStyle w:val="3"/>
        <w:jc w:val="left"/>
      </w:pPr>
      <w:bookmarkStart w:id="29" w:name="_Toc30607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6. 配筋计算结果</w:t>
      </w:r>
      <w:bookmarkEnd w:id="29"/>
    </w:p>
    <w:p>
      <w:pPr>
        <w:pStyle w:val="4"/>
        <w:jc w:val="left"/>
      </w:pPr>
      <w:bookmarkStart w:id="30" w:name="_Toc6965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(1). 配筋简图(主模型)</w:t>
      </w:r>
      <w:bookmarkEnd w:id="30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8" name="图片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图10-8 配筋简图(主模型)</w:t>
      </w:r>
    </w:p>
    <w:p>
      <w:pPr>
        <w:spacing w:beforeLines="0" w:afterLines="0"/>
        <w:jc w:val="left"/>
      </w:pPr>
      <w:r>
        <w:t>说明: 1、独基、承台配筋面积单位为cm*cm/m，三桩承台配筋另详图中文字说明。2、矩形“两桩承台按梁构件计算”的配筋面积单位为cm*cm，箍筋或水平/竖向分布筋间距s=200mm。3、板单元和梁单元的钢筋面积单位分别为cm*cm/m。4、地基梁、拉梁的配筋面积单位为cm*cm，箍筋间距s=200mm。5、地基梁[*]中的数字表示翼缘配筋，单位为cm*cm/m。6、地基梁（*）中的数字表示翼缘受剪R/S。7、短柱纵筋与箍筋的钢筋面积单位均为cm*cm。</w:t>
      </w:r>
    </w:p>
    <w:p>
      <w:pPr>
        <w:pStyle w:val="4"/>
        <w:jc w:val="left"/>
      </w:pPr>
      <w:bookmarkStart w:id="31" w:name="_Toc32368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(2). 配筋简图-顶筋(主模型)</w:t>
      </w:r>
      <w:bookmarkEnd w:id="31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9" name="图片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图10-9 配筋简图-顶筋(主模型)</w:t>
      </w:r>
    </w:p>
    <w:p>
      <w:pPr>
        <w:spacing w:beforeLines="0" w:afterLines="0"/>
        <w:jc w:val="left"/>
      </w:pPr>
      <w:r>
        <w:t>说明: 1、独基、承台配筋面积单位为cm*cm/m，三桩承台配筋另详图中文字说明。2、矩形“两桩承台按梁构件计算”的配筋面积单位为cm*cm，箍筋或水平/竖向分布筋间距s=200mm。3、板单元和梁单元的钢筋面积单位分别为cm*cm/m。4、地基梁、拉梁的配筋面积单位为cm*cm，箍筋间距s=200mm。5、地基梁[*]中的数字表示翼缘配筋，单位为cm*cm/m。6、地基梁（*）中的数字表示翼缘受剪R/S。7、短柱纵筋与箍筋的钢筋面积单位均为cm*cm。</w:t>
      </w:r>
    </w:p>
    <w:p>
      <w:pPr>
        <w:pStyle w:val="4"/>
        <w:jc w:val="left"/>
      </w:pPr>
      <w:bookmarkStart w:id="32" w:name="_Toc14760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(3). 配筋简图-底筋(主模型)</w:t>
      </w:r>
      <w:bookmarkEnd w:id="32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10" name="图片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图10-10 配筋简图-底筋(主模型)</w:t>
      </w:r>
    </w:p>
    <w:p>
      <w:pPr>
        <w:spacing w:beforeLines="0" w:afterLines="0"/>
        <w:jc w:val="left"/>
      </w:pPr>
      <w:r>
        <w:t>说明: 1、独基、承台配筋面积单位为cm*cm/m，三桩承台配筋另详图中文字说明。2、矩形“两桩承台按梁构件计算”的配筋面积单位为cm*cm，箍筋或水平/竖向分布筋间距s=200mm。3、板单元和梁单元的钢筋面积单位分别为cm*cm/m。4、地基梁、拉梁的配筋面积单位为cm*cm，箍筋间距s=200mm。5、地基梁[*]中的数字表示翼缘配筋，单位为cm*cm/m。6、地基梁（*）中的数字表示翼缘受剪R/S。7、短柱纵筋与箍筋的钢筋面积单位均为cm*cm。</w:t>
      </w:r>
    </w:p>
    <w:sectPr>
      <w:headerReference r:id="rId5" w:type="default"/>
      <w:footerReference r:id="rId6" w:type="default"/>
      <w:pgSz w:w="23814" w:h="16839" w:orient="landscape"/>
      <w:pgMar w:top="567" w:right="850" w:bottom="453" w:left="1417" w:header="120" w:footer="200" w:gutter="0"/>
      <w:cols w:space="1134" w:num="1"/>
      <w:titlePg/>
      <w:docGrid w:type="lines" w:linePitch="11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978683747"/>
      <w:docPartObj>
        <w:docPartGallery w:val="AutoText"/>
      </w:docPartObj>
    </w:sdtPr>
    <w:sdtContent>
      <w:p>
        <w:pPr>
          <w:pStyle w:val="10"/>
          <w:jc w:val="center"/>
        </w:pPr>
        <w:r>
          <w:t xml:space="preserve">- </w:t>
        </w: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fldChar w:fldCharType="end"/>
        </w:r>
        <w:r>
          <w:t xml:space="preserve"> -</w: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978683747"/>
      <w:docPartObj>
        <w:docPartGallery w:val="AutoText"/>
      </w:docPartObj>
    </w:sdtPr>
    <w:sdtContent>
      <w:p>
        <w:pPr>
          <w:pStyle w:val="10"/>
          <w:jc w:val="center"/>
        </w:pPr>
        <w:r>
          <w:t xml:space="preserve">- </w:t>
        </w: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fldChar w:fldCharType="end"/>
        </w:r>
        <w:r>
          <w:t xml:space="preserve"> -</w:t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EB87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semiHidden="0" w:name="toc 1"/>
    <w:lsdException w:uiPriority="39" w:semiHidden="0" w:name="toc 2"/>
    <w:lsdException w:uiPriority="39" w:semiHidden="0" w:name="toc 3"/>
    <w:lsdException w:uiPriority="39" w:semiHidden="0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48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49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50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51"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52"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toc 3"/>
    <w:basedOn w:val="1"/>
    <w:next w:val="1"/>
    <w:unhideWhenUsed/>
    <w:uiPriority w:val="39"/>
    <w:pPr>
      <w:ind w:left="840" w:leftChars="400"/>
    </w:pPr>
  </w:style>
  <w:style w:type="paragraph" w:styleId="9">
    <w:name w:val="Balloon Text"/>
    <w:basedOn w:val="1"/>
    <w:link w:val="44"/>
    <w:semiHidden/>
    <w:unhideWhenUsed/>
    <w:uiPriority w:val="99"/>
    <w:rPr>
      <w:sz w:val="18"/>
      <w:szCs w:val="18"/>
    </w:rPr>
  </w:style>
  <w:style w:type="paragraph" w:styleId="10">
    <w:name w:val="footer"/>
    <w:basedOn w:val="1"/>
    <w:link w:val="43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link w:val="2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toc 1"/>
    <w:basedOn w:val="1"/>
    <w:next w:val="1"/>
    <w:unhideWhenUsed/>
    <w:uiPriority w:val="39"/>
  </w:style>
  <w:style w:type="paragraph" w:styleId="13">
    <w:name w:val="toc 4"/>
    <w:basedOn w:val="1"/>
    <w:next w:val="1"/>
    <w:unhideWhenUsed/>
    <w:uiPriority w:val="39"/>
    <w:pPr>
      <w:ind w:left="1260" w:leftChars="600"/>
    </w:pPr>
  </w:style>
  <w:style w:type="paragraph" w:styleId="14">
    <w:name w:val="Subtitle"/>
    <w:basedOn w:val="1"/>
    <w:next w:val="1"/>
    <w:link w:val="47"/>
    <w:qFormat/>
    <w:uiPriority w:val="11"/>
    <w:pPr>
      <w:spacing w:before="240" w:after="60" w:line="312" w:lineRule="auto"/>
      <w:jc w:val="center"/>
      <w:outlineLvl w:val="1"/>
    </w:pPr>
    <w:rPr>
      <w:rFonts w:eastAsia="宋体" w:asciiTheme="majorHAnsi" w:hAnsiTheme="majorHAnsi" w:cstheme="majorBidi"/>
      <w:b/>
      <w:bCs/>
      <w:kern w:val="28"/>
      <w:sz w:val="32"/>
      <w:szCs w:val="32"/>
    </w:rPr>
  </w:style>
  <w:style w:type="paragraph" w:styleId="15">
    <w:name w:val="toc 2"/>
    <w:basedOn w:val="1"/>
    <w:next w:val="1"/>
    <w:unhideWhenUsed/>
    <w:uiPriority w:val="39"/>
    <w:pPr>
      <w:ind w:left="420" w:leftChars="200"/>
    </w:pPr>
  </w:style>
  <w:style w:type="paragraph" w:styleId="16">
    <w:name w:val="Title"/>
    <w:basedOn w:val="1"/>
    <w:next w:val="1"/>
    <w:link w:val="45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table" w:styleId="18">
    <w:name w:val="Table Grid"/>
    <w:basedOn w:val="17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页眉 Char"/>
    <w:basedOn w:val="19"/>
    <w:link w:val="11"/>
    <w:uiPriority w:val="99"/>
    <w:rPr>
      <w:sz w:val="18"/>
      <w:szCs w:val="18"/>
    </w:rPr>
  </w:style>
  <w:style w:type="table" w:customStyle="1" w:styleId="21">
    <w:name w:val="三线式表格(三条线都为细线)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  <w:left w:val="nil"/>
          <w:bottom w:val="single" w:color="auto" w:sz="4" w:space="0"/>
          <w:right w:val="nil"/>
          <w:insideH w:val="nil"/>
          <w:insideV w:val="nil"/>
        </w:tcBorders>
      </w:tcPr>
    </w:tblStylePr>
  </w:style>
  <w:style w:type="table" w:customStyle="1" w:styleId="22">
    <w:name w:val="三线式表格(三条线都为细线)_表头为0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</w:tcBorders>
      </w:tcPr>
    </w:tblStylePr>
  </w:style>
  <w:style w:type="table" w:customStyle="1" w:styleId="23">
    <w:name w:val="三线式表格(三条线都为细线)_表头为2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  <w:bottom w:val="single" w:color="auto" w:sz="4" w:space="0"/>
        </w:tcBorders>
      </w:tcPr>
    </w:tblStylePr>
  </w:style>
  <w:style w:type="table" w:customStyle="1" w:styleId="24">
    <w:name w:val="三线式表格(三条线都为细线)_表头为3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  <w:bottom w:val="single" w:color="auto" w:sz="4" w:space="0"/>
        </w:tcBorders>
      </w:tcPr>
    </w:tblStylePr>
  </w:style>
  <w:style w:type="table" w:customStyle="1" w:styleId="25">
    <w:name w:val="三线式表格(顶底线粗，中线细)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4" w:space="0"/>
        </w:tcBorders>
      </w:tcPr>
    </w:tblStylePr>
  </w:style>
  <w:style w:type="table" w:customStyle="1" w:styleId="26">
    <w:name w:val="三线式表格(顶底线粗，中线细)_表头为0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</w:tcBorders>
      </w:tcPr>
    </w:tblStylePr>
  </w:style>
  <w:style w:type="table" w:customStyle="1" w:styleId="27">
    <w:name w:val="三线式表格(顶底线粗，中线细)_表头为2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4" w:space="0"/>
        </w:tcBorders>
      </w:tcPr>
    </w:tblStylePr>
  </w:style>
  <w:style w:type="table" w:customStyle="1" w:styleId="28">
    <w:name w:val="三线式表格(顶底线粗，中线细)_表头为3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4" w:space="0"/>
        </w:tcBorders>
      </w:tcPr>
    </w:tblStylePr>
  </w:style>
  <w:style w:type="table" w:customStyle="1" w:styleId="29">
    <w:name w:val="表头及底线粗，内线细，无两侧边框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14" w:space="0"/>
        </w:tcBorders>
      </w:tcPr>
    </w:tblStylePr>
  </w:style>
  <w:style w:type="table" w:customStyle="1" w:styleId="30">
    <w:name w:val="表头及底线粗，内线细，无两侧边框_表头为0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</w:tcBorders>
      </w:tcPr>
    </w:tblStylePr>
  </w:style>
  <w:style w:type="table" w:customStyle="1" w:styleId="31">
    <w:name w:val="表头及底线粗，内线细，无两侧边框_表头为2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14" w:space="0"/>
        </w:tcBorders>
      </w:tcPr>
    </w:tblStylePr>
  </w:style>
  <w:style w:type="table" w:customStyle="1" w:styleId="32">
    <w:name w:val="表头及底线粗，内线细，无两侧边框_表头为3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14" w:space="0"/>
        </w:tcBorders>
      </w:tcPr>
    </w:tblStylePr>
  </w:style>
  <w:style w:type="table" w:customStyle="1" w:styleId="33">
    <w:name w:val="表头及边框粗，内线细"/>
    <w:basedOn w:val="17"/>
    <w:qFormat/>
    <w:uiPriority w:val="99"/>
    <w:tblPr>
      <w:tblBorders>
        <w:top w:val="single" w:color="auto" w:sz="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sz="6" w:space="0"/>
          <w:insideV w:val="single" w:sz="6" w:space="0"/>
          <w:tl2br w:val="nil"/>
          <w:tr2bl w:val="nil"/>
        </w:tcBorders>
      </w:tcPr>
    </w:tblStylePr>
  </w:style>
  <w:style w:type="table" w:customStyle="1" w:styleId="34">
    <w:name w:val="表头及边框粗，内线细_表头为0"/>
    <w:basedOn w:val="17"/>
    <w:qFormat/>
    <w:uiPriority w:val="99"/>
    <w:tblPr>
      <w:tblBorders>
        <w:top w:val="single" w:color="auto" w:sz="1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</w:tcBorders>
      </w:tcPr>
    </w:tblStylePr>
  </w:style>
  <w:style w:type="table" w:customStyle="1" w:styleId="35">
    <w:name w:val="表头及边框粗，内线细_表头为2"/>
    <w:basedOn w:val="17"/>
    <w:qFormat/>
    <w:uiPriority w:val="99"/>
    <w:tblPr>
      <w:tblBorders>
        <w:top w:val="single" w:color="auto" w:sz="1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sz="4" w:space="0"/>
          <w:insideV w:val="single" w:sz="4" w:space="0"/>
        </w:tcBorders>
      </w:tcPr>
    </w:tblStylePr>
  </w:style>
  <w:style w:type="table" w:customStyle="1" w:styleId="36">
    <w:name w:val="表头及边框粗，内线细_表头为3"/>
    <w:basedOn w:val="17"/>
    <w:qFormat/>
    <w:uiPriority w:val="99"/>
    <w:tblPr>
      <w:tblBorders>
        <w:top w:val="single" w:color="auto" w:sz="1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sz="4" w:space="0"/>
          <w:insideV w:val="single" w:sz="4" w:space="0"/>
        </w:tcBorders>
      </w:tcPr>
    </w:tblStylePr>
  </w:style>
  <w:style w:type="table" w:customStyle="1" w:styleId="37">
    <w:name w:val="双外轮廓线式，外粗，内细 (表格内部线细)"/>
    <w:basedOn w:val="17"/>
    <w:qFormat/>
    <w:uiPriority w:val="99"/>
    <w:tblPr>
      <w:tblBorders>
        <w:top w:val="thinThickSmallGap" w:color="auto" w:sz="24" w:space="0"/>
        <w:left w:val="thinThickSmallGap" w:color="auto" w:sz="24" w:space="0"/>
        <w:bottom w:val="thickThinSmallGap" w:color="auto" w:sz="24" w:space="0"/>
        <w:right w:val="thickThinSmallGap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tcPr>
        <w:tcBorders>
          <w:insideH w:val="single" w:sz="6" w:space="0"/>
          <w:insideV w:val="single" w:sz="6" w:space="0"/>
        </w:tcBorders>
      </w:tcPr>
    </w:tblStylePr>
  </w:style>
  <w:style w:type="table" w:customStyle="1" w:styleId="38">
    <w:name w:val="双外轮廓线式，外细，内粗 (表格内部线细)"/>
    <w:basedOn w:val="17"/>
    <w:qFormat/>
    <w:uiPriority w:val="99"/>
    <w:tblPr>
      <w:tblBorders>
        <w:top w:val="thickThinSmallGap" w:color="auto" w:sz="24" w:space="0"/>
        <w:left w:val="thickThinSmallGap" w:color="auto" w:sz="24" w:space="0"/>
        <w:bottom w:val="thinThickSmallGap" w:color="auto" w:sz="24" w:space="0"/>
        <w:right w:val="thinThickSmallGap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tcPr>
        <w:tcBorders>
          <w:insideH w:val="single" w:sz="6" w:space="0"/>
          <w:insideV w:val="single" w:sz="6" w:space="0"/>
        </w:tcBorders>
      </w:tcPr>
    </w:tblStylePr>
  </w:style>
  <w:style w:type="table" w:customStyle="1" w:styleId="39">
    <w:name w:val="双外轮廓线式，外细，内细 (表格内部线细)"/>
    <w:basedOn w:val="17"/>
    <w:qFormat/>
    <w:uiPriority w:val="99"/>
    <w:tblPr>
      <w:tblBorders>
        <w:top w:val="double" w:color="auto" w:sz="6" w:space="0"/>
        <w:left w:val="double" w:color="auto" w:sz="6" w:space="0"/>
        <w:bottom w:val="double" w:color="auto" w:sz="6" w:space="0"/>
        <w:right w:val="double" w:color="auto" w:sz="6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三外轮廓线式，外细，中粗，内细 (表格内部线细)"/>
    <w:basedOn w:val="17"/>
    <w:qFormat/>
    <w:uiPriority w:val="99"/>
    <w:tblPr>
      <w:tblBorders>
        <w:top w:val="thinThickThinSmallGap" w:color="auto" w:sz="24" w:space="0"/>
        <w:left w:val="thinThickThinSmallGap" w:color="auto" w:sz="24" w:space="0"/>
        <w:bottom w:val="thinThickThinSmallGap" w:color="auto" w:sz="24" w:space="0"/>
        <w:right w:val="thinThickThinSmallGap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三维式外轮廓线(表格内部线细)"/>
    <w:basedOn w:val="17"/>
    <w:qFormat/>
    <w:uiPriority w:val="99"/>
    <w:tblPr>
      <w:tblBorders>
        <w:top w:val="threeDEmboss" w:color="auto" w:sz="24" w:space="0"/>
        <w:left w:val="threeDEmboss" w:color="auto" w:sz="24" w:space="0"/>
        <w:bottom w:val="threeDEngrave" w:color="auto" w:sz="24" w:space="0"/>
        <w:right w:val="threeDEngrave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无线条"/>
    <w:basedOn w:val="17"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3">
    <w:name w:val="页脚 Char"/>
    <w:basedOn w:val="19"/>
    <w:link w:val="10"/>
    <w:uiPriority w:val="99"/>
    <w:rPr>
      <w:sz w:val="18"/>
      <w:szCs w:val="18"/>
    </w:rPr>
  </w:style>
  <w:style w:type="character" w:customStyle="1" w:styleId="44">
    <w:name w:val="批注框文本 Char"/>
    <w:basedOn w:val="19"/>
    <w:link w:val="9"/>
    <w:semiHidden/>
    <w:uiPriority w:val="99"/>
    <w:rPr>
      <w:sz w:val="18"/>
      <w:szCs w:val="18"/>
    </w:rPr>
  </w:style>
  <w:style w:type="character" w:customStyle="1" w:styleId="45">
    <w:name w:val="标题 Char"/>
    <w:basedOn w:val="19"/>
    <w:link w:val="16"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46">
    <w:name w:val="标题 1 Char"/>
    <w:basedOn w:val="19"/>
    <w:link w:val="2"/>
    <w:uiPriority w:val="9"/>
    <w:rPr>
      <w:b/>
      <w:bCs/>
      <w:kern w:val="44"/>
      <w:sz w:val="44"/>
      <w:szCs w:val="44"/>
    </w:rPr>
  </w:style>
  <w:style w:type="character" w:customStyle="1" w:styleId="47">
    <w:name w:val="副标题 Char"/>
    <w:basedOn w:val="19"/>
    <w:link w:val="14"/>
    <w:uiPriority w:val="11"/>
    <w:rPr>
      <w:rFonts w:eastAsia="宋体" w:asciiTheme="majorHAnsi" w:hAnsiTheme="majorHAnsi" w:cstheme="majorBidi"/>
      <w:b/>
      <w:bCs/>
      <w:kern w:val="28"/>
      <w:sz w:val="32"/>
      <w:szCs w:val="32"/>
    </w:rPr>
  </w:style>
  <w:style w:type="character" w:customStyle="1" w:styleId="48">
    <w:name w:val="标题 2 Char"/>
    <w:basedOn w:val="19"/>
    <w:link w:val="3"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49">
    <w:name w:val="标题 3 Char"/>
    <w:basedOn w:val="19"/>
    <w:link w:val="4"/>
    <w:uiPriority w:val="9"/>
    <w:rPr>
      <w:b/>
      <w:bCs/>
      <w:sz w:val="32"/>
      <w:szCs w:val="32"/>
    </w:rPr>
  </w:style>
  <w:style w:type="character" w:customStyle="1" w:styleId="50">
    <w:name w:val="标题 4 Char"/>
    <w:basedOn w:val="19"/>
    <w:link w:val="5"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51">
    <w:name w:val="标题 5 Char"/>
    <w:basedOn w:val="19"/>
    <w:link w:val="6"/>
    <w:uiPriority w:val="9"/>
    <w:rPr>
      <w:b/>
      <w:bCs/>
      <w:sz w:val="28"/>
      <w:szCs w:val="28"/>
    </w:rPr>
  </w:style>
  <w:style w:type="character" w:customStyle="1" w:styleId="52">
    <w:name w:val="标题 6 Char"/>
    <w:basedOn w:val="19"/>
    <w:link w:val="7"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paragraph" w:customStyle="1" w:styleId="53">
    <w:name w:val="TOC Heading"/>
    <w:basedOn w:val="2"/>
    <w:next w:val="1"/>
    <w:semiHidden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Theme="majorHAnsi" w:hAnsiTheme="majorHAnsi" w:eastAsiaTheme="majorEastAsia" w:cstheme="majorBidi"/>
      <w:color w:val="2E75B6" w:themeColor="accent1" w:themeShade="BF"/>
      <w:kern w:val="0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8" Type="http://schemas.openxmlformats.org/officeDocument/2006/relationships/image" Target="media/image1.emf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image" Target="media/image8.emf"/><Relationship Id="rId14" Type="http://schemas.openxmlformats.org/officeDocument/2006/relationships/image" Target="media/image7.emf"/><Relationship Id="rId13" Type="http://schemas.openxmlformats.org/officeDocument/2006/relationships/image" Target="media/image6.emf"/><Relationship Id="rId12" Type="http://schemas.openxmlformats.org/officeDocument/2006/relationships/image" Target="media/image5.emf"/><Relationship Id="rId11" Type="http://schemas.openxmlformats.org/officeDocument/2006/relationships/image" Target="media/image4.emf"/><Relationship Id="rId10" Type="http://schemas.openxmlformats.org/officeDocument/2006/relationships/image" Target="media/image3.e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</Words>
  <Characters>12</Characters>
  <Lines>1</Lines>
  <Paragraphs>1</Paragraphs>
  <TotalTime>0</TotalTime>
  <ScaleCrop>false</ScaleCrop>
  <LinksUpToDate>false</LinksUpToDate>
  <CharactersWithSpaces>13</CharactersWithSpaces>
  <Application>WPS Office_11.8.2.11978_F1E327BC-269C-435d-A152-05C5408002CA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2015-03-16T03:08:00Z</dcterms:created>
  <dc:creator>Admin</dc:creator>
  <cp:lastModifiedBy>lenovo</cp:lastModifiedBy>
  <dcterms:modified xsi:type="dcterms:W3CDTF">2023-07-28T05:05:00Z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2052-11.8.2.11978</vt:lpwstr>
  </property>
  <property fmtid="{D5CDD505-2E9C-101B-9397-08002B2CF9AE}" pid="3" name="ICV">
    <vt:lpwstr>D2053F69216F459F954A03349AE35614</vt:lpwstr>
  </property>
</Properties>
</file>